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tblLook w:val="01E0"/>
      </w:tblPr>
      <w:tblGrid>
        <w:gridCol w:w="3528"/>
        <w:gridCol w:w="6209"/>
      </w:tblGrid>
      <w:tr w:rsidR="00A861DC" w:rsidRPr="00697A99" w:rsidTr="008D2149">
        <w:trPr>
          <w:trHeight w:val="1521"/>
        </w:trPr>
        <w:tc>
          <w:tcPr>
            <w:tcW w:w="3528" w:type="dxa"/>
            <w:shd w:val="clear" w:color="auto" w:fill="auto"/>
          </w:tcPr>
          <w:p w:rsidR="00A861DC" w:rsidRPr="00697A99" w:rsidRDefault="00A861DC" w:rsidP="008D2149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noProof/>
                <w:sz w:val="26"/>
                <w:szCs w:val="26"/>
              </w:rPr>
            </w:pPr>
            <w:r w:rsidRPr="00697A99">
              <w:rPr>
                <w:b/>
                <w:noProof/>
                <w:sz w:val="26"/>
                <w:szCs w:val="26"/>
              </w:rPr>
              <w:t>HỘI ĐỒNG NHÂN DÂN</w:t>
            </w:r>
          </w:p>
          <w:p w:rsidR="00A861DC" w:rsidRPr="00697A99" w:rsidRDefault="00A861DC" w:rsidP="008D2149">
            <w:pPr>
              <w:tabs>
                <w:tab w:val="center" w:pos="4320"/>
                <w:tab w:val="right" w:pos="8640"/>
              </w:tabs>
              <w:jc w:val="center"/>
              <w:rPr>
                <w:b/>
                <w:noProof/>
                <w:sz w:val="26"/>
                <w:szCs w:val="26"/>
              </w:rPr>
            </w:pPr>
            <w:r w:rsidRPr="00697A99">
              <w:rPr>
                <w:b/>
                <w:noProof/>
                <w:sz w:val="26"/>
                <w:szCs w:val="26"/>
              </w:rPr>
              <w:t>TỈNH YÊN BÁI</w:t>
            </w:r>
          </w:p>
          <w:p w:rsidR="00A861DC" w:rsidRPr="00697A99" w:rsidRDefault="00A861DC" w:rsidP="008D2149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––––––</w:t>
            </w:r>
          </w:p>
          <w:p w:rsidR="00A861DC" w:rsidRPr="00AB5550" w:rsidRDefault="00A861DC" w:rsidP="00BA4524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AB5550">
              <w:rPr>
                <w:sz w:val="26"/>
                <w:szCs w:val="28"/>
              </w:rPr>
              <w:t xml:space="preserve">Số:  </w:t>
            </w:r>
            <w:r w:rsidR="00BA4524">
              <w:rPr>
                <w:sz w:val="26"/>
                <w:szCs w:val="28"/>
              </w:rPr>
              <w:t>13</w:t>
            </w:r>
            <w:r w:rsidRPr="00AB5550">
              <w:rPr>
                <w:sz w:val="26"/>
                <w:szCs w:val="28"/>
              </w:rPr>
              <w:t>/NQ-HĐND</w:t>
            </w:r>
          </w:p>
        </w:tc>
        <w:tc>
          <w:tcPr>
            <w:tcW w:w="6209" w:type="dxa"/>
            <w:shd w:val="clear" w:color="auto" w:fill="auto"/>
          </w:tcPr>
          <w:p w:rsidR="00A861DC" w:rsidRPr="00697A99" w:rsidRDefault="00A861DC" w:rsidP="008D2149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697A99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97A99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A861DC" w:rsidRPr="00BD6E1D" w:rsidRDefault="00A861DC" w:rsidP="008D214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BD6E1D">
              <w:rPr>
                <w:b/>
                <w:sz w:val="28"/>
                <w:szCs w:val="28"/>
              </w:rPr>
              <w:t>Độc lập - Tự do - Hạnh phúc</w:t>
            </w:r>
          </w:p>
          <w:p w:rsidR="00A861DC" w:rsidRPr="00697A99" w:rsidRDefault="00A861DC" w:rsidP="008D2149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––––––</w:t>
            </w:r>
            <w:r w:rsidR="00430EF8">
              <w:rPr>
                <w:b/>
                <w:szCs w:val="28"/>
              </w:rPr>
              <w:t>––––––</w:t>
            </w:r>
            <w:r>
              <w:rPr>
                <w:b/>
                <w:szCs w:val="28"/>
              </w:rPr>
              <w:t>––––––––––––––––––</w:t>
            </w:r>
          </w:p>
          <w:p w:rsidR="00A861DC" w:rsidRPr="00697A99" w:rsidRDefault="00A861DC" w:rsidP="00BA4524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BD6E1D">
              <w:rPr>
                <w:i/>
                <w:sz w:val="28"/>
                <w:szCs w:val="28"/>
              </w:rPr>
              <w:t>Yên Bái, ngày</w:t>
            </w:r>
            <w:r w:rsidR="005C0DB9">
              <w:rPr>
                <w:i/>
                <w:sz w:val="28"/>
                <w:szCs w:val="28"/>
              </w:rPr>
              <w:t xml:space="preserve">  </w:t>
            </w:r>
            <w:r w:rsidR="00BA4524">
              <w:rPr>
                <w:i/>
                <w:sz w:val="28"/>
                <w:szCs w:val="28"/>
              </w:rPr>
              <w:t>02</w:t>
            </w:r>
            <w:r w:rsidR="005C0DB9">
              <w:rPr>
                <w:i/>
                <w:sz w:val="28"/>
                <w:szCs w:val="28"/>
              </w:rPr>
              <w:t xml:space="preserve"> </w:t>
            </w:r>
            <w:r w:rsidRPr="00BD6E1D">
              <w:rPr>
                <w:i/>
                <w:sz w:val="28"/>
                <w:szCs w:val="28"/>
              </w:rPr>
              <w:t xml:space="preserve"> tháng </w:t>
            </w:r>
            <w:r w:rsidR="005C0DB9">
              <w:rPr>
                <w:i/>
                <w:sz w:val="28"/>
                <w:szCs w:val="28"/>
              </w:rPr>
              <w:t>8</w:t>
            </w:r>
            <w:r w:rsidRPr="00BD6E1D">
              <w:rPr>
                <w:i/>
                <w:sz w:val="28"/>
                <w:szCs w:val="28"/>
                <w:lang w:val="vi-VN"/>
              </w:rPr>
              <w:t xml:space="preserve"> </w:t>
            </w:r>
            <w:r w:rsidRPr="00BD6E1D">
              <w:rPr>
                <w:i/>
                <w:sz w:val="28"/>
                <w:szCs w:val="28"/>
              </w:rPr>
              <w:t>năm 2018</w:t>
            </w:r>
          </w:p>
        </w:tc>
      </w:tr>
    </w:tbl>
    <w:p w:rsidR="00434589" w:rsidRDefault="00434589" w:rsidP="00F17298">
      <w:pPr>
        <w:spacing w:before="120"/>
        <w:jc w:val="center"/>
        <w:rPr>
          <w:b/>
          <w:sz w:val="28"/>
          <w:szCs w:val="28"/>
        </w:rPr>
      </w:pPr>
    </w:p>
    <w:p w:rsidR="00F17298" w:rsidRPr="00434589" w:rsidRDefault="00F17298" w:rsidP="00F17298">
      <w:pPr>
        <w:spacing w:before="120"/>
        <w:jc w:val="center"/>
        <w:rPr>
          <w:b/>
          <w:sz w:val="28"/>
          <w:szCs w:val="28"/>
        </w:rPr>
      </w:pPr>
      <w:r w:rsidRPr="00434589">
        <w:rPr>
          <w:b/>
          <w:sz w:val="28"/>
          <w:szCs w:val="28"/>
        </w:rPr>
        <w:t>NGHỊ QUYẾT</w:t>
      </w:r>
    </w:p>
    <w:p w:rsidR="00551E7F" w:rsidRDefault="00F17298" w:rsidP="007E4E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Sửa đổi một số nội dung</w:t>
      </w:r>
      <w:r w:rsidR="00F91803">
        <w:rPr>
          <w:b/>
          <w:bCs/>
          <w:spacing w:val="-1"/>
          <w:sz w:val="28"/>
          <w:szCs w:val="28"/>
        </w:rPr>
        <w:t xml:space="preserve"> Điều 1</w:t>
      </w:r>
      <w:r>
        <w:rPr>
          <w:b/>
          <w:bCs/>
          <w:spacing w:val="-1"/>
          <w:sz w:val="28"/>
          <w:szCs w:val="28"/>
        </w:rPr>
        <w:t xml:space="preserve"> </w:t>
      </w:r>
      <w:r w:rsidR="00031ABD" w:rsidRPr="00CD4E74">
        <w:rPr>
          <w:b/>
          <w:bCs/>
          <w:sz w:val="28"/>
          <w:szCs w:val="28"/>
        </w:rPr>
        <w:t xml:space="preserve">Nghị quyết số 27/NQ-HĐND </w:t>
      </w:r>
    </w:p>
    <w:p w:rsidR="00551E7F" w:rsidRDefault="00031ABD" w:rsidP="007E4E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4E74">
        <w:rPr>
          <w:b/>
          <w:bCs/>
          <w:sz w:val="28"/>
          <w:szCs w:val="28"/>
        </w:rPr>
        <w:t>ngày 25 tháng 7 năm 2017 của Hội đồng nhân dân tỉnh Yên Bái</w:t>
      </w:r>
    </w:p>
    <w:p w:rsidR="00551E7F" w:rsidRDefault="00031ABD" w:rsidP="007E4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thông qua</w:t>
      </w:r>
      <w:r w:rsidR="00B2434D" w:rsidRPr="00CD4E74">
        <w:rPr>
          <w:b/>
          <w:bCs/>
          <w:sz w:val="28"/>
          <w:szCs w:val="28"/>
        </w:rPr>
        <w:t xml:space="preserve"> </w:t>
      </w:r>
      <w:r w:rsidR="00AB4785">
        <w:rPr>
          <w:b/>
          <w:bCs/>
          <w:sz w:val="28"/>
          <w:szCs w:val="28"/>
        </w:rPr>
        <w:t xml:space="preserve">điều chỉnh </w:t>
      </w:r>
      <w:r w:rsidR="00B2434D" w:rsidRPr="00CD4E74">
        <w:rPr>
          <w:b/>
          <w:bCs/>
          <w:sz w:val="28"/>
          <w:szCs w:val="28"/>
        </w:rPr>
        <w:t>Q</w:t>
      </w:r>
      <w:r w:rsidR="00B2434D" w:rsidRPr="00CD4E74">
        <w:rPr>
          <w:b/>
          <w:sz w:val="28"/>
          <w:szCs w:val="28"/>
        </w:rPr>
        <w:t xml:space="preserve">uy hoạch sử dụng đất đến năm 2020 </w:t>
      </w:r>
    </w:p>
    <w:p w:rsidR="00B2434D" w:rsidRPr="00CD4E74" w:rsidRDefault="00B2434D" w:rsidP="007E4E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4E74">
        <w:rPr>
          <w:b/>
          <w:sz w:val="28"/>
          <w:szCs w:val="28"/>
        </w:rPr>
        <w:t>và kế hoạch sử dụng đất k</w:t>
      </w:r>
      <w:r w:rsidR="00031ABD">
        <w:rPr>
          <w:b/>
          <w:sz w:val="28"/>
          <w:szCs w:val="28"/>
        </w:rPr>
        <w:t>ỳ cuối (2016</w:t>
      </w:r>
      <w:r w:rsidR="00551E7F">
        <w:rPr>
          <w:b/>
          <w:sz w:val="28"/>
          <w:szCs w:val="28"/>
        </w:rPr>
        <w:t xml:space="preserve"> </w:t>
      </w:r>
      <w:r w:rsidR="00031ABD">
        <w:rPr>
          <w:b/>
          <w:sz w:val="28"/>
          <w:szCs w:val="28"/>
        </w:rPr>
        <w:t>-</w:t>
      </w:r>
      <w:r w:rsidR="00551E7F">
        <w:rPr>
          <w:b/>
          <w:sz w:val="28"/>
          <w:szCs w:val="28"/>
        </w:rPr>
        <w:t xml:space="preserve"> </w:t>
      </w:r>
      <w:r w:rsidR="00031ABD">
        <w:rPr>
          <w:b/>
          <w:sz w:val="28"/>
          <w:szCs w:val="28"/>
        </w:rPr>
        <w:t>2020) tỉnh Yên Bái</w:t>
      </w:r>
    </w:p>
    <w:p w:rsidR="00181B7A" w:rsidRDefault="00250AA4" w:rsidP="00D17024">
      <w:pPr>
        <w:widowControl w:val="0"/>
        <w:spacing w:before="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pict>
          <v:line id="Line 16" o:spid="_x0000_s1026" style="position:absolute;left:0;text-align:left;z-index:251657216;visibility:visible" from="167.85pt,9.2pt" to="295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Z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ms2z2lIF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caxuvt0AAAAJAQAADwAAAGRycy9kb3ducmV2LnhtbEyPwU7DMAyG70i8Q2QkLtOWsjIY&#10;pemEgN64MIa4eo1pKxqna7Kt8PQYcYCj/X/6/Tlfja5TBxpC69nAxSwBRVx523JtYPNSTpegQkS2&#10;2HkmA58UYFWcnuSYWX/kZzqsY62khEOGBpoY+0zrUDXkMMx8TyzZux8cRhmHWtsBj1LuOj1Pkivt&#10;sGW50GBP9w1VH+u9MxDKV9qVX5Nqkryltaf57uHpEY05PxvvbkFFGuMfDD/6og6FOG39nm1QnYE0&#10;XVwLKsHyEpQAi5skBbX9Xegi1/8/KL4BAAD//wMAUEsBAi0AFAAGAAgAAAAhALaDOJL+AAAA4QEA&#10;ABMAAAAAAAAAAAAAAAAAAAAAAFtDb250ZW50X1R5cGVzXS54bWxQSwECLQAUAAYACAAAACEAOP0h&#10;/9YAAACUAQAACwAAAAAAAAAAAAAAAAAvAQAAX3JlbHMvLnJlbHNQSwECLQAUAAYACAAAACEA8KTm&#10;QRICAAApBAAADgAAAAAAAAAAAAAAAAAuAgAAZHJzL2Uyb0RvYy54bWxQSwECLQAUAAYACAAAACEA&#10;caxuvt0AAAAJAQAADwAAAAAAAAAAAAAAAABsBAAAZHJzL2Rvd25yZXYueG1sUEsFBgAAAAAEAAQA&#10;8wAAAHYFAAAAAA==&#10;"/>
        </w:pict>
      </w:r>
      <w:r w:rsidR="00181B7A" w:rsidRPr="00CD4E74">
        <w:rPr>
          <w:b/>
          <w:bCs/>
          <w:i/>
          <w:iCs/>
          <w:sz w:val="28"/>
          <w:szCs w:val="28"/>
        </w:rPr>
        <w:tab/>
      </w:r>
    </w:p>
    <w:p w:rsidR="00A861DC" w:rsidRPr="00765612" w:rsidRDefault="00A861DC" w:rsidP="00D17024">
      <w:pPr>
        <w:widowControl w:val="0"/>
        <w:spacing w:before="60"/>
        <w:jc w:val="center"/>
        <w:rPr>
          <w:b/>
          <w:bCs/>
          <w:sz w:val="42"/>
          <w:szCs w:val="32"/>
        </w:rPr>
      </w:pPr>
    </w:p>
    <w:p w:rsidR="00F17298" w:rsidRPr="00434589" w:rsidRDefault="00F17298" w:rsidP="00F17298">
      <w:pPr>
        <w:tabs>
          <w:tab w:val="center" w:pos="2160"/>
          <w:tab w:val="center" w:pos="2700"/>
        </w:tabs>
        <w:jc w:val="center"/>
        <w:rPr>
          <w:b/>
          <w:sz w:val="28"/>
          <w:szCs w:val="28"/>
          <w:lang w:val="nl-NL"/>
        </w:rPr>
      </w:pPr>
      <w:r w:rsidRPr="00434589">
        <w:rPr>
          <w:b/>
          <w:sz w:val="28"/>
          <w:szCs w:val="28"/>
          <w:lang w:val="nl-NL"/>
        </w:rPr>
        <w:t>HỘI ĐỒNG NHÂN DÂN TỈNH YÊN BÁI</w:t>
      </w:r>
    </w:p>
    <w:p w:rsidR="00F17298" w:rsidRPr="00434589" w:rsidRDefault="00F17298" w:rsidP="00F17298">
      <w:pPr>
        <w:tabs>
          <w:tab w:val="center" w:pos="2160"/>
          <w:tab w:val="center" w:pos="2700"/>
        </w:tabs>
        <w:jc w:val="center"/>
        <w:rPr>
          <w:b/>
          <w:sz w:val="28"/>
          <w:szCs w:val="28"/>
          <w:lang w:val="nl-NL"/>
        </w:rPr>
      </w:pPr>
      <w:r w:rsidRPr="00434589">
        <w:rPr>
          <w:b/>
          <w:sz w:val="28"/>
          <w:szCs w:val="28"/>
          <w:lang w:val="nl-NL"/>
        </w:rPr>
        <w:t>KHÓA XVIII - KỲ HỌP THỨ 10</w:t>
      </w:r>
    </w:p>
    <w:p w:rsidR="00CC1C28" w:rsidRDefault="00CC1C28" w:rsidP="00D17024">
      <w:pPr>
        <w:pStyle w:val="BodyTextIndent2"/>
        <w:widowControl w:val="0"/>
        <w:spacing w:before="60" w:after="0" w:line="240" w:lineRule="auto"/>
        <w:ind w:firstLine="720"/>
        <w:rPr>
          <w:rFonts w:ascii="Times New Roman" w:hAnsi="Times New Roman"/>
          <w:spacing w:val="-6"/>
          <w:sz w:val="16"/>
          <w:szCs w:val="16"/>
        </w:rPr>
      </w:pPr>
    </w:p>
    <w:p w:rsidR="00A861DC" w:rsidRPr="00D06591" w:rsidRDefault="00A861DC" w:rsidP="00D17024">
      <w:pPr>
        <w:pStyle w:val="BodyTextIndent2"/>
        <w:widowControl w:val="0"/>
        <w:spacing w:before="60" w:after="0" w:line="240" w:lineRule="auto"/>
        <w:ind w:firstLine="720"/>
        <w:rPr>
          <w:rFonts w:ascii="Times New Roman" w:hAnsi="Times New Roman"/>
          <w:spacing w:val="-6"/>
          <w:sz w:val="24"/>
          <w:szCs w:val="16"/>
        </w:rPr>
      </w:pPr>
    </w:p>
    <w:p w:rsidR="003D5780" w:rsidRPr="003D5780" w:rsidRDefault="003D5780" w:rsidP="00765612">
      <w:pPr>
        <w:tabs>
          <w:tab w:val="center" w:pos="2160"/>
          <w:tab w:val="center" w:pos="2700"/>
        </w:tabs>
        <w:spacing w:before="120" w:after="120" w:line="264" w:lineRule="auto"/>
        <w:ind w:firstLine="670"/>
        <w:jc w:val="both"/>
        <w:rPr>
          <w:sz w:val="28"/>
          <w:szCs w:val="28"/>
          <w:lang w:val="nl-NL"/>
        </w:rPr>
      </w:pPr>
      <w:r w:rsidRPr="003D5780">
        <w:rPr>
          <w:sz w:val="28"/>
          <w:szCs w:val="28"/>
          <w:lang w:val="nl-NL"/>
        </w:rPr>
        <w:t>Căn cứ Luật tổ chức chính quyền địa phương ngày 19 tháng 6 năm 2015;</w:t>
      </w:r>
    </w:p>
    <w:p w:rsidR="003D5780" w:rsidRPr="003D5780" w:rsidRDefault="003D5780" w:rsidP="00765612">
      <w:pPr>
        <w:tabs>
          <w:tab w:val="center" w:pos="2160"/>
          <w:tab w:val="center" w:pos="2700"/>
        </w:tabs>
        <w:spacing w:before="120" w:after="120" w:line="264" w:lineRule="auto"/>
        <w:ind w:firstLine="670"/>
        <w:jc w:val="both"/>
        <w:rPr>
          <w:sz w:val="28"/>
          <w:szCs w:val="28"/>
          <w:lang w:val="nl-NL"/>
        </w:rPr>
      </w:pPr>
      <w:r w:rsidRPr="003D5780">
        <w:rPr>
          <w:sz w:val="28"/>
          <w:szCs w:val="28"/>
          <w:lang w:val="nl-NL"/>
        </w:rPr>
        <w:t>Căn cứ Luật đất đai ngày 29 tháng 11 năm 2013;</w:t>
      </w:r>
    </w:p>
    <w:p w:rsidR="00434589" w:rsidRPr="001B7CFE" w:rsidRDefault="00434589" w:rsidP="00765612">
      <w:pPr>
        <w:widowControl w:val="0"/>
        <w:spacing w:before="120" w:after="120" w:line="264" w:lineRule="auto"/>
        <w:ind w:firstLine="720"/>
        <w:jc w:val="both"/>
        <w:rPr>
          <w:sz w:val="28"/>
          <w:szCs w:val="28"/>
        </w:rPr>
      </w:pPr>
      <w:r w:rsidRPr="001B7CFE">
        <w:rPr>
          <w:sz w:val="28"/>
          <w:szCs w:val="28"/>
        </w:rPr>
        <w:t>Căn cứ Nghị</w:t>
      </w:r>
      <w:r w:rsidR="005C0DB9">
        <w:rPr>
          <w:sz w:val="28"/>
          <w:szCs w:val="28"/>
        </w:rPr>
        <w:t xml:space="preserve"> quyết số 134/2016/QH13 </w:t>
      </w:r>
      <w:r w:rsidR="005C0DB9" w:rsidRPr="00D06591">
        <w:rPr>
          <w:color w:val="00B0F0"/>
          <w:sz w:val="28"/>
          <w:szCs w:val="28"/>
        </w:rPr>
        <w:t>ngày 09</w:t>
      </w:r>
      <w:r w:rsidR="00D06591" w:rsidRPr="00D06591">
        <w:rPr>
          <w:color w:val="00B0F0"/>
          <w:sz w:val="28"/>
          <w:szCs w:val="28"/>
        </w:rPr>
        <w:t xml:space="preserve"> tháng </w:t>
      </w:r>
      <w:r w:rsidR="005C0DB9" w:rsidRPr="00D06591">
        <w:rPr>
          <w:color w:val="00B0F0"/>
          <w:sz w:val="28"/>
          <w:szCs w:val="28"/>
        </w:rPr>
        <w:t>4</w:t>
      </w:r>
      <w:r w:rsidR="00D06591" w:rsidRPr="00D06591">
        <w:rPr>
          <w:color w:val="00B0F0"/>
          <w:sz w:val="28"/>
          <w:szCs w:val="28"/>
        </w:rPr>
        <w:t xml:space="preserve"> năm </w:t>
      </w:r>
      <w:r w:rsidRPr="00D06591">
        <w:rPr>
          <w:color w:val="00B0F0"/>
          <w:sz w:val="28"/>
          <w:szCs w:val="28"/>
        </w:rPr>
        <w:t>2016</w:t>
      </w:r>
      <w:r w:rsidRPr="001B7CFE">
        <w:rPr>
          <w:sz w:val="28"/>
          <w:szCs w:val="28"/>
        </w:rPr>
        <w:t xml:space="preserve"> của Quốc hội về điều chỉnh quy hoạch sử dụng đất đến năm 2020 và kế hoạch sử dụng đất kỳ cuối (2016</w:t>
      </w:r>
      <w:r w:rsidR="00107B09">
        <w:rPr>
          <w:sz w:val="28"/>
          <w:szCs w:val="28"/>
        </w:rPr>
        <w:t xml:space="preserve"> </w:t>
      </w:r>
      <w:r w:rsidRPr="001B7CFE">
        <w:rPr>
          <w:sz w:val="28"/>
          <w:szCs w:val="28"/>
        </w:rPr>
        <w:t>-</w:t>
      </w:r>
      <w:r w:rsidR="00107B09">
        <w:rPr>
          <w:sz w:val="28"/>
          <w:szCs w:val="28"/>
        </w:rPr>
        <w:t xml:space="preserve"> </w:t>
      </w:r>
      <w:r w:rsidRPr="001B7CFE">
        <w:rPr>
          <w:sz w:val="28"/>
          <w:szCs w:val="28"/>
        </w:rPr>
        <w:t>2020) cấp Quốc gia;</w:t>
      </w:r>
    </w:p>
    <w:p w:rsidR="003D5780" w:rsidRPr="003D5780" w:rsidRDefault="003D5780" w:rsidP="00765612">
      <w:pPr>
        <w:spacing w:before="120" w:after="120" w:line="264" w:lineRule="auto"/>
        <w:ind w:firstLine="680"/>
        <w:jc w:val="both"/>
        <w:rPr>
          <w:sz w:val="28"/>
          <w:szCs w:val="28"/>
          <w:lang w:val="nl-NL"/>
        </w:rPr>
      </w:pPr>
      <w:r w:rsidRPr="003D5780">
        <w:rPr>
          <w:sz w:val="28"/>
          <w:szCs w:val="28"/>
          <w:lang w:val="nl-NL"/>
        </w:rPr>
        <w:t xml:space="preserve">Căn cứ Nghị định số 43/2014/NĐ-CP </w:t>
      </w:r>
      <w:r w:rsidRPr="00D06591">
        <w:rPr>
          <w:color w:val="00B0F0"/>
          <w:sz w:val="28"/>
          <w:szCs w:val="28"/>
          <w:lang w:val="nl-NL"/>
        </w:rPr>
        <w:t>ngày 15</w:t>
      </w:r>
      <w:r w:rsidR="00D06591" w:rsidRPr="00D06591">
        <w:rPr>
          <w:color w:val="00B0F0"/>
          <w:sz w:val="28"/>
          <w:szCs w:val="28"/>
          <w:lang w:val="nl-NL"/>
        </w:rPr>
        <w:t xml:space="preserve"> tháng </w:t>
      </w:r>
      <w:r w:rsidRPr="00D06591">
        <w:rPr>
          <w:color w:val="00B0F0"/>
          <w:sz w:val="28"/>
          <w:szCs w:val="28"/>
          <w:lang w:val="nl-NL"/>
        </w:rPr>
        <w:t>5</w:t>
      </w:r>
      <w:r w:rsidR="00D06591" w:rsidRPr="00D06591">
        <w:rPr>
          <w:color w:val="00B0F0"/>
          <w:sz w:val="28"/>
          <w:szCs w:val="28"/>
          <w:lang w:val="nl-NL"/>
        </w:rPr>
        <w:t xml:space="preserve"> năm </w:t>
      </w:r>
      <w:r w:rsidRPr="00D06591">
        <w:rPr>
          <w:color w:val="00B0F0"/>
          <w:sz w:val="28"/>
          <w:szCs w:val="28"/>
          <w:lang w:val="nl-NL"/>
        </w:rPr>
        <w:t>2014</w:t>
      </w:r>
      <w:r w:rsidRPr="003D5780">
        <w:rPr>
          <w:sz w:val="28"/>
          <w:szCs w:val="28"/>
          <w:lang w:val="nl-NL"/>
        </w:rPr>
        <w:t xml:space="preserve"> của Chính phủ quy định chi tiết thi hành một số điều của Luật đất đai;</w:t>
      </w:r>
    </w:p>
    <w:p w:rsidR="003D5780" w:rsidRPr="003D5780" w:rsidRDefault="003D5780" w:rsidP="00765612">
      <w:pPr>
        <w:spacing w:before="120" w:after="120" w:line="264" w:lineRule="auto"/>
        <w:ind w:firstLine="720"/>
        <w:jc w:val="both"/>
        <w:rPr>
          <w:spacing w:val="-2"/>
          <w:sz w:val="28"/>
          <w:szCs w:val="28"/>
          <w:lang w:val="pl-PL"/>
        </w:rPr>
      </w:pPr>
      <w:r w:rsidRPr="003D5780">
        <w:rPr>
          <w:spacing w:val="-2"/>
          <w:sz w:val="28"/>
          <w:szCs w:val="28"/>
          <w:lang w:val="pl-PL"/>
        </w:rPr>
        <w:t xml:space="preserve">Căn cứ Nghị định số </w:t>
      </w:r>
      <w:r w:rsidRPr="003D5780">
        <w:rPr>
          <w:spacing w:val="-2"/>
          <w:sz w:val="28"/>
          <w:szCs w:val="28"/>
          <w:lang w:val="pt-BR"/>
        </w:rPr>
        <w:t xml:space="preserve">01/2017/NĐ-CP </w:t>
      </w:r>
      <w:r w:rsidRPr="00D06591">
        <w:rPr>
          <w:color w:val="00B0F0"/>
          <w:spacing w:val="-2"/>
          <w:sz w:val="28"/>
          <w:szCs w:val="28"/>
          <w:lang w:val="pt-BR"/>
        </w:rPr>
        <w:t>ngày 06</w:t>
      </w:r>
      <w:r w:rsidR="00D06591" w:rsidRPr="00D06591">
        <w:rPr>
          <w:color w:val="00B0F0"/>
          <w:spacing w:val="-2"/>
          <w:sz w:val="28"/>
          <w:szCs w:val="28"/>
          <w:lang w:val="pt-BR"/>
        </w:rPr>
        <w:t xml:space="preserve"> tháng </w:t>
      </w:r>
      <w:r w:rsidRPr="00D06591">
        <w:rPr>
          <w:color w:val="00B0F0"/>
          <w:spacing w:val="-2"/>
          <w:sz w:val="28"/>
          <w:szCs w:val="28"/>
          <w:lang w:val="pt-BR"/>
        </w:rPr>
        <w:t>01</w:t>
      </w:r>
      <w:r w:rsidR="00D06591" w:rsidRPr="00D06591">
        <w:rPr>
          <w:color w:val="00B0F0"/>
          <w:spacing w:val="-2"/>
          <w:sz w:val="28"/>
          <w:szCs w:val="28"/>
          <w:lang w:val="pt-BR"/>
        </w:rPr>
        <w:t xml:space="preserve"> năm </w:t>
      </w:r>
      <w:r w:rsidRPr="00D06591">
        <w:rPr>
          <w:color w:val="00B0F0"/>
          <w:spacing w:val="-2"/>
          <w:sz w:val="28"/>
          <w:szCs w:val="28"/>
          <w:lang w:val="pt-BR"/>
        </w:rPr>
        <w:t>2017</w:t>
      </w:r>
      <w:r w:rsidRPr="003D5780">
        <w:rPr>
          <w:spacing w:val="-2"/>
          <w:sz w:val="28"/>
          <w:szCs w:val="28"/>
          <w:lang w:val="pt-BR"/>
        </w:rPr>
        <w:t xml:space="preserve"> của Chính phủ quy định sửa đổi, bổ sung một số nghị định quy định chi tiết thi hành Luật đất đai;</w:t>
      </w:r>
    </w:p>
    <w:p w:rsidR="00B2434D" w:rsidRPr="001B7CFE" w:rsidRDefault="00B2434D" w:rsidP="00765612">
      <w:pPr>
        <w:widowControl w:val="0"/>
        <w:spacing w:before="120" w:after="120" w:line="264" w:lineRule="auto"/>
        <w:ind w:firstLine="720"/>
        <w:jc w:val="both"/>
        <w:rPr>
          <w:sz w:val="28"/>
          <w:szCs w:val="28"/>
        </w:rPr>
      </w:pPr>
      <w:r w:rsidRPr="001B7CFE">
        <w:rPr>
          <w:sz w:val="28"/>
          <w:szCs w:val="28"/>
        </w:rPr>
        <w:t>Căn cứ</w:t>
      </w:r>
      <w:r w:rsidR="00D06591">
        <w:rPr>
          <w:sz w:val="28"/>
          <w:szCs w:val="28"/>
        </w:rPr>
        <w:t xml:space="preserve"> Nghị quyết số 57/NQ-CP </w:t>
      </w:r>
      <w:r w:rsidR="00D06591" w:rsidRPr="00D06591">
        <w:rPr>
          <w:color w:val="00B0F0"/>
          <w:sz w:val="28"/>
          <w:szCs w:val="28"/>
        </w:rPr>
        <w:t xml:space="preserve">ngày 17 tháng </w:t>
      </w:r>
      <w:r w:rsidR="005C0DB9" w:rsidRPr="00D06591">
        <w:rPr>
          <w:color w:val="00B0F0"/>
          <w:sz w:val="28"/>
          <w:szCs w:val="28"/>
        </w:rPr>
        <w:t>5</w:t>
      </w:r>
      <w:r w:rsidR="00D06591" w:rsidRPr="00D06591">
        <w:rPr>
          <w:color w:val="00B0F0"/>
          <w:sz w:val="28"/>
          <w:szCs w:val="28"/>
        </w:rPr>
        <w:t xml:space="preserve"> năm </w:t>
      </w:r>
      <w:r w:rsidRPr="00D06591">
        <w:rPr>
          <w:color w:val="00B0F0"/>
          <w:sz w:val="28"/>
          <w:szCs w:val="28"/>
        </w:rPr>
        <w:t>2018</w:t>
      </w:r>
      <w:r w:rsidRPr="001B7CFE">
        <w:rPr>
          <w:sz w:val="28"/>
          <w:szCs w:val="28"/>
        </w:rPr>
        <w:t xml:space="preserve"> của Chính phủ về điều chỉnh quy hoạch sử dụng đất đến năm 2020 và kế hoạch sử dụng đất kỳ cuối (2016</w:t>
      </w:r>
      <w:r w:rsidR="003A16C9">
        <w:rPr>
          <w:sz w:val="28"/>
          <w:szCs w:val="28"/>
        </w:rPr>
        <w:t xml:space="preserve"> </w:t>
      </w:r>
      <w:r w:rsidRPr="001B7CFE">
        <w:rPr>
          <w:sz w:val="28"/>
          <w:szCs w:val="28"/>
        </w:rPr>
        <w:t>-</w:t>
      </w:r>
      <w:r w:rsidR="003A16C9">
        <w:rPr>
          <w:sz w:val="28"/>
          <w:szCs w:val="28"/>
        </w:rPr>
        <w:t xml:space="preserve"> </w:t>
      </w:r>
      <w:r w:rsidRPr="001B7CFE">
        <w:rPr>
          <w:sz w:val="28"/>
          <w:szCs w:val="28"/>
        </w:rPr>
        <w:t>2020) tỉnh Yên Bái;</w:t>
      </w:r>
    </w:p>
    <w:p w:rsidR="003C10D7" w:rsidRPr="001B7CFE" w:rsidRDefault="003C10D7" w:rsidP="00765612">
      <w:pPr>
        <w:widowControl w:val="0"/>
        <w:spacing w:before="120" w:after="120" w:line="264" w:lineRule="auto"/>
        <w:ind w:firstLine="720"/>
        <w:jc w:val="both"/>
        <w:rPr>
          <w:sz w:val="28"/>
          <w:szCs w:val="28"/>
        </w:rPr>
      </w:pPr>
      <w:r w:rsidRPr="001B7CFE">
        <w:rPr>
          <w:sz w:val="28"/>
          <w:szCs w:val="28"/>
        </w:rPr>
        <w:t xml:space="preserve">Căn cứ Thông tư số 29/2014/TT-BTNMT </w:t>
      </w:r>
      <w:r w:rsidR="005C0DB9" w:rsidRPr="00D06591">
        <w:rPr>
          <w:color w:val="00B0F0"/>
          <w:sz w:val="28"/>
          <w:szCs w:val="28"/>
        </w:rPr>
        <w:t>ngày 02</w:t>
      </w:r>
      <w:r w:rsidR="00D06591" w:rsidRPr="00D06591">
        <w:rPr>
          <w:color w:val="00B0F0"/>
          <w:sz w:val="28"/>
          <w:szCs w:val="28"/>
        </w:rPr>
        <w:t xml:space="preserve"> tháng </w:t>
      </w:r>
      <w:r w:rsidRPr="00D06591">
        <w:rPr>
          <w:color w:val="00B0F0"/>
          <w:sz w:val="28"/>
          <w:szCs w:val="28"/>
        </w:rPr>
        <w:t>6</w:t>
      </w:r>
      <w:r w:rsidR="00D06591" w:rsidRPr="00D06591">
        <w:rPr>
          <w:color w:val="00B0F0"/>
          <w:sz w:val="28"/>
          <w:szCs w:val="28"/>
        </w:rPr>
        <w:t xml:space="preserve"> năm </w:t>
      </w:r>
      <w:r w:rsidRPr="00D06591">
        <w:rPr>
          <w:color w:val="00B0F0"/>
          <w:sz w:val="28"/>
          <w:szCs w:val="28"/>
        </w:rPr>
        <w:t>2014</w:t>
      </w:r>
      <w:r w:rsidRPr="001B7CFE">
        <w:rPr>
          <w:sz w:val="28"/>
          <w:szCs w:val="28"/>
        </w:rPr>
        <w:t xml:space="preserve"> của Bộ Tài nguyên và Môi trường quy định chi tiết việc lập, điều chỉnh quy hoạch, kế hoạch sử dụng đất</w:t>
      </w:r>
      <w:r w:rsidR="005E2CC5" w:rsidRPr="001B7CFE">
        <w:rPr>
          <w:sz w:val="28"/>
          <w:szCs w:val="28"/>
        </w:rPr>
        <w:t>.</w:t>
      </w:r>
    </w:p>
    <w:p w:rsidR="00181B7A" w:rsidRPr="00CD4E74" w:rsidRDefault="00181B7A" w:rsidP="00765612">
      <w:pPr>
        <w:widowControl w:val="0"/>
        <w:spacing w:before="120" w:after="120" w:line="264" w:lineRule="auto"/>
        <w:ind w:firstLine="720"/>
        <w:jc w:val="both"/>
        <w:rPr>
          <w:sz w:val="28"/>
          <w:szCs w:val="28"/>
        </w:rPr>
      </w:pPr>
      <w:r w:rsidRPr="00551E7F">
        <w:rPr>
          <w:sz w:val="28"/>
          <w:szCs w:val="28"/>
        </w:rPr>
        <w:t xml:space="preserve">Xét Tờ trình số </w:t>
      </w:r>
      <w:r w:rsidR="00393825" w:rsidRPr="00551E7F">
        <w:rPr>
          <w:sz w:val="28"/>
          <w:szCs w:val="28"/>
        </w:rPr>
        <w:t xml:space="preserve">62/TTr-UBND ngày </w:t>
      </w:r>
      <w:r w:rsidR="00393825" w:rsidRPr="00D06591">
        <w:rPr>
          <w:color w:val="00B0F0"/>
          <w:sz w:val="28"/>
          <w:szCs w:val="28"/>
        </w:rPr>
        <w:t>04</w:t>
      </w:r>
      <w:r w:rsidR="00D06591" w:rsidRPr="00D06591">
        <w:rPr>
          <w:color w:val="00B0F0"/>
          <w:sz w:val="28"/>
          <w:szCs w:val="28"/>
        </w:rPr>
        <w:t xml:space="preserve"> tháng </w:t>
      </w:r>
      <w:r w:rsidR="00393825" w:rsidRPr="00D06591">
        <w:rPr>
          <w:color w:val="00B0F0"/>
          <w:sz w:val="28"/>
          <w:szCs w:val="28"/>
        </w:rPr>
        <w:t>7</w:t>
      </w:r>
      <w:r w:rsidR="00D06591" w:rsidRPr="00D06591">
        <w:rPr>
          <w:color w:val="00B0F0"/>
          <w:sz w:val="28"/>
          <w:szCs w:val="28"/>
        </w:rPr>
        <w:t xml:space="preserve"> năm </w:t>
      </w:r>
      <w:r w:rsidRPr="00D06591">
        <w:rPr>
          <w:color w:val="00B0F0"/>
          <w:sz w:val="28"/>
          <w:szCs w:val="28"/>
        </w:rPr>
        <w:t>201</w:t>
      </w:r>
      <w:r w:rsidR="00B2434D" w:rsidRPr="00D06591">
        <w:rPr>
          <w:color w:val="00B0F0"/>
          <w:sz w:val="28"/>
          <w:szCs w:val="28"/>
        </w:rPr>
        <w:t>8</w:t>
      </w:r>
      <w:r w:rsidR="00B2434D" w:rsidRPr="00CD4E74">
        <w:rPr>
          <w:sz w:val="28"/>
          <w:szCs w:val="28"/>
        </w:rPr>
        <w:t xml:space="preserve"> của Uỷ ban nhân dân</w:t>
      </w:r>
      <w:r w:rsidRPr="00CD4E74">
        <w:rPr>
          <w:sz w:val="28"/>
          <w:szCs w:val="28"/>
        </w:rPr>
        <w:t xml:space="preserve"> tỉnh về việc thông qua </w:t>
      </w:r>
      <w:r w:rsidR="00B2434D" w:rsidRPr="00CD4E74">
        <w:rPr>
          <w:sz w:val="28"/>
          <w:szCs w:val="28"/>
        </w:rPr>
        <w:t>điều chỉnh một số chỉ tiêu sử dụng đất trong Quy hoạch sử dụng đất đến năm 2020 và kế hoạch sử dụng đất kỳ cuối (2016</w:t>
      </w:r>
      <w:r w:rsidR="003A16C9">
        <w:rPr>
          <w:sz w:val="28"/>
          <w:szCs w:val="28"/>
        </w:rPr>
        <w:t xml:space="preserve"> </w:t>
      </w:r>
      <w:r w:rsidR="00B2434D" w:rsidRPr="00CD4E74">
        <w:rPr>
          <w:sz w:val="28"/>
          <w:szCs w:val="28"/>
        </w:rPr>
        <w:t>-</w:t>
      </w:r>
      <w:r w:rsidR="003A16C9">
        <w:rPr>
          <w:sz w:val="28"/>
          <w:szCs w:val="28"/>
        </w:rPr>
        <w:t xml:space="preserve"> </w:t>
      </w:r>
      <w:r w:rsidR="00B2434D" w:rsidRPr="00CD4E74">
        <w:rPr>
          <w:sz w:val="28"/>
          <w:szCs w:val="28"/>
        </w:rPr>
        <w:t xml:space="preserve">2020) tỉnh Yên Bái tại Nghị quyết số 27/NQ-HĐND ngày 25 tháng 7 năm 2017 của Hội đồng nhân dân tỉnh Yên Bái; </w:t>
      </w:r>
      <w:r w:rsidRPr="00CD4E74">
        <w:rPr>
          <w:sz w:val="28"/>
          <w:szCs w:val="28"/>
        </w:rPr>
        <w:t xml:space="preserve">Báo cáo thẩm </w:t>
      </w:r>
      <w:r w:rsidR="00B2434D" w:rsidRPr="00CD4E74">
        <w:rPr>
          <w:sz w:val="28"/>
          <w:szCs w:val="28"/>
        </w:rPr>
        <w:t xml:space="preserve">tra </w:t>
      </w:r>
      <w:r w:rsidRPr="00CD4E74">
        <w:rPr>
          <w:sz w:val="28"/>
          <w:szCs w:val="28"/>
        </w:rPr>
        <w:t xml:space="preserve">của Ban </w:t>
      </w:r>
      <w:r w:rsidR="00D06591" w:rsidRPr="00D06591">
        <w:rPr>
          <w:color w:val="00B0F0"/>
          <w:sz w:val="28"/>
          <w:szCs w:val="28"/>
        </w:rPr>
        <w:t>k</w:t>
      </w:r>
      <w:r w:rsidRPr="00CD4E74">
        <w:rPr>
          <w:sz w:val="28"/>
          <w:szCs w:val="28"/>
        </w:rPr>
        <w:t xml:space="preserve">inh tế - </w:t>
      </w:r>
      <w:r w:rsidR="00D06591" w:rsidRPr="00D06591">
        <w:rPr>
          <w:color w:val="00B0F0"/>
          <w:sz w:val="28"/>
          <w:szCs w:val="28"/>
        </w:rPr>
        <w:t>n</w:t>
      </w:r>
      <w:r w:rsidRPr="00CD4E74">
        <w:rPr>
          <w:sz w:val="28"/>
          <w:szCs w:val="28"/>
        </w:rPr>
        <w:t xml:space="preserve">gân sách; </w:t>
      </w:r>
      <w:r w:rsidR="005C0DB9">
        <w:rPr>
          <w:sz w:val="28"/>
          <w:szCs w:val="28"/>
        </w:rPr>
        <w:t>ý</w:t>
      </w:r>
      <w:r w:rsidRPr="00CD4E74">
        <w:rPr>
          <w:sz w:val="28"/>
          <w:szCs w:val="28"/>
        </w:rPr>
        <w:t xml:space="preserve"> kiến thảo luận của đại biểu Hội đồng nhân dân tại kỳ họp</w:t>
      </w:r>
      <w:r w:rsidR="003A16C9">
        <w:rPr>
          <w:sz w:val="28"/>
          <w:szCs w:val="28"/>
        </w:rPr>
        <w:t>,</w:t>
      </w:r>
    </w:p>
    <w:p w:rsidR="00181B7A" w:rsidRPr="00CD4E74" w:rsidRDefault="00181B7A" w:rsidP="001B7CFE">
      <w:pPr>
        <w:widowControl w:val="0"/>
        <w:spacing w:before="120" w:after="120"/>
        <w:jc w:val="center"/>
        <w:rPr>
          <w:b/>
          <w:bCs/>
          <w:sz w:val="28"/>
          <w:szCs w:val="28"/>
        </w:rPr>
      </w:pPr>
      <w:r w:rsidRPr="00CD4E74">
        <w:rPr>
          <w:b/>
          <w:bCs/>
          <w:sz w:val="28"/>
          <w:szCs w:val="28"/>
        </w:rPr>
        <w:lastRenderedPageBreak/>
        <w:t>QUYẾT NGHỊ:</w:t>
      </w:r>
    </w:p>
    <w:p w:rsidR="00181B7A" w:rsidRPr="00CD4E74" w:rsidRDefault="00181B7A" w:rsidP="001B7CFE">
      <w:pPr>
        <w:widowControl w:val="0"/>
        <w:spacing w:before="120" w:after="120"/>
        <w:ind w:firstLine="720"/>
        <w:jc w:val="both"/>
        <w:rPr>
          <w:bCs/>
          <w:sz w:val="14"/>
          <w:szCs w:val="14"/>
        </w:rPr>
      </w:pPr>
    </w:p>
    <w:p w:rsidR="008E1ED4" w:rsidRPr="005D4214" w:rsidRDefault="00181B7A" w:rsidP="00AB4D82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bCs/>
          <w:sz w:val="28"/>
          <w:szCs w:val="28"/>
        </w:rPr>
      </w:pPr>
      <w:r w:rsidRPr="00F91803">
        <w:rPr>
          <w:b/>
          <w:spacing w:val="-6"/>
          <w:sz w:val="28"/>
          <w:szCs w:val="28"/>
        </w:rPr>
        <w:t>Điều 1.</w:t>
      </w:r>
      <w:r w:rsidRPr="005D4214">
        <w:rPr>
          <w:spacing w:val="-6"/>
          <w:sz w:val="28"/>
          <w:szCs w:val="28"/>
        </w:rPr>
        <w:t xml:space="preserve"> </w:t>
      </w:r>
      <w:r w:rsidR="008E1ED4" w:rsidRPr="005D4214">
        <w:rPr>
          <w:bCs/>
          <w:spacing w:val="-1"/>
          <w:sz w:val="28"/>
          <w:szCs w:val="28"/>
        </w:rPr>
        <w:t xml:space="preserve">Sửa đổi </w:t>
      </w:r>
      <w:r w:rsidR="005D4214" w:rsidRPr="005D4214">
        <w:rPr>
          <w:bCs/>
          <w:spacing w:val="-1"/>
          <w:sz w:val="28"/>
          <w:szCs w:val="28"/>
        </w:rPr>
        <w:t>Điều 1</w:t>
      </w:r>
      <w:r w:rsidR="008E1ED4" w:rsidRPr="005D4214">
        <w:rPr>
          <w:bCs/>
          <w:spacing w:val="-1"/>
          <w:sz w:val="28"/>
          <w:szCs w:val="28"/>
        </w:rPr>
        <w:t xml:space="preserve"> </w:t>
      </w:r>
      <w:r w:rsidR="008E1ED4" w:rsidRPr="005D4214">
        <w:rPr>
          <w:bCs/>
          <w:sz w:val="28"/>
          <w:szCs w:val="28"/>
        </w:rPr>
        <w:t>Nghị quyết số 27/NQ-HĐND ngày 25 tháng 7 năm 2017 của Hội đồng nhân dân tỉnh Yên Bái thông qua điều chỉnh Q</w:t>
      </w:r>
      <w:r w:rsidR="008E1ED4" w:rsidRPr="005D4214">
        <w:rPr>
          <w:sz w:val="28"/>
          <w:szCs w:val="28"/>
        </w:rPr>
        <w:t>uy hoạch sử dụng đất đến năm 2020 và kế hoạch sử dụng đất kỳ cuối (2016</w:t>
      </w:r>
      <w:r w:rsidR="00551E7F">
        <w:rPr>
          <w:sz w:val="28"/>
          <w:szCs w:val="28"/>
        </w:rPr>
        <w:t xml:space="preserve"> </w:t>
      </w:r>
      <w:r w:rsidR="008E1ED4" w:rsidRPr="005D4214">
        <w:rPr>
          <w:sz w:val="28"/>
          <w:szCs w:val="28"/>
        </w:rPr>
        <w:t>-</w:t>
      </w:r>
      <w:r w:rsidR="00551E7F">
        <w:rPr>
          <w:sz w:val="28"/>
          <w:szCs w:val="28"/>
        </w:rPr>
        <w:t xml:space="preserve"> </w:t>
      </w:r>
      <w:r w:rsidR="008E1ED4" w:rsidRPr="005D4214">
        <w:rPr>
          <w:sz w:val="28"/>
          <w:szCs w:val="28"/>
        </w:rPr>
        <w:t>2020) tỉnh Yên Bái</w:t>
      </w:r>
      <w:r w:rsidR="005D4214" w:rsidRPr="005D4214">
        <w:rPr>
          <w:sz w:val="28"/>
          <w:szCs w:val="28"/>
        </w:rPr>
        <w:t>, cụ thể như sau:</w:t>
      </w:r>
    </w:p>
    <w:p w:rsidR="001037EC" w:rsidRPr="00CD4E74" w:rsidRDefault="001037EC" w:rsidP="001B7CFE">
      <w:pPr>
        <w:widowControl w:val="0"/>
        <w:spacing w:before="120" w:after="120"/>
        <w:ind w:firstLine="720"/>
        <w:jc w:val="both"/>
        <w:outlineLvl w:val="0"/>
        <w:rPr>
          <w:sz w:val="28"/>
          <w:szCs w:val="28"/>
        </w:rPr>
      </w:pPr>
      <w:r w:rsidRPr="00CD4E74">
        <w:rPr>
          <w:sz w:val="28"/>
          <w:szCs w:val="28"/>
        </w:rPr>
        <w:t>1. Điều chỉnh quy hoạch sử dụng đất đến năm 2020 gồm:</w:t>
      </w:r>
    </w:p>
    <w:p w:rsidR="00203F58" w:rsidRDefault="001037EC" w:rsidP="001B7CFE">
      <w:pPr>
        <w:widowControl w:val="0"/>
        <w:spacing w:before="120" w:after="120"/>
        <w:ind w:firstLine="720"/>
        <w:jc w:val="both"/>
        <w:outlineLvl w:val="0"/>
        <w:rPr>
          <w:sz w:val="28"/>
          <w:szCs w:val="28"/>
          <w:lang w:val="it-IT"/>
        </w:rPr>
      </w:pPr>
      <w:r w:rsidRPr="00CD4E74">
        <w:rPr>
          <w:sz w:val="28"/>
          <w:szCs w:val="28"/>
          <w:lang w:val="it-IT"/>
        </w:rPr>
        <w:t>a</w:t>
      </w:r>
      <w:r w:rsidR="005F5CAC">
        <w:rPr>
          <w:sz w:val="28"/>
          <w:szCs w:val="28"/>
          <w:lang w:val="it-IT"/>
        </w:rPr>
        <w:t>)</w:t>
      </w:r>
      <w:r w:rsidR="00CC1C28" w:rsidRPr="00CD4E74">
        <w:rPr>
          <w:sz w:val="28"/>
          <w:szCs w:val="28"/>
          <w:lang w:val="it-IT"/>
        </w:rPr>
        <w:t xml:space="preserve"> Diện tích, cơ cấu các loại đất trong kỳ điều chỉnh quy hoạch sử dụng đất đến năm 2020</w:t>
      </w:r>
      <w:r w:rsidR="002B5AF7">
        <w:rPr>
          <w:sz w:val="28"/>
          <w:szCs w:val="28"/>
          <w:lang w:val="it-IT"/>
        </w:rPr>
        <w:t>.</w:t>
      </w:r>
    </w:p>
    <w:p w:rsidR="00AB4785" w:rsidRPr="001316C0" w:rsidRDefault="00AB4785" w:rsidP="00AB4785">
      <w:pPr>
        <w:widowControl w:val="0"/>
        <w:spacing w:before="120" w:after="120" w:line="288" w:lineRule="auto"/>
        <w:ind w:firstLine="720"/>
        <w:jc w:val="center"/>
        <w:outlineLvl w:val="0"/>
        <w:rPr>
          <w:bCs/>
          <w:i/>
          <w:sz w:val="28"/>
          <w:szCs w:val="28"/>
          <w:lang w:val="it-IT"/>
        </w:rPr>
      </w:pPr>
      <w:r w:rsidRPr="001316C0">
        <w:rPr>
          <w:i/>
          <w:sz w:val="28"/>
          <w:szCs w:val="28"/>
          <w:lang w:val="it-IT"/>
        </w:rPr>
        <w:t xml:space="preserve">(Chi tiết tại Phụ lục </w:t>
      </w:r>
      <w:r w:rsidRPr="001316C0">
        <w:rPr>
          <w:bCs/>
          <w:i/>
          <w:sz w:val="28"/>
          <w:szCs w:val="28"/>
          <w:lang w:val="it-IT"/>
        </w:rPr>
        <w:t>01 kèm theo)</w:t>
      </w:r>
    </w:p>
    <w:p w:rsidR="00203F58" w:rsidRDefault="001037EC" w:rsidP="001B7CFE">
      <w:pPr>
        <w:widowControl w:val="0"/>
        <w:adjustRightInd w:val="0"/>
        <w:spacing w:before="120" w:after="120"/>
        <w:ind w:firstLine="720"/>
        <w:jc w:val="both"/>
        <w:rPr>
          <w:spacing w:val="-4"/>
          <w:sz w:val="28"/>
          <w:szCs w:val="28"/>
          <w:lang w:val="it-IT"/>
        </w:rPr>
      </w:pPr>
      <w:r w:rsidRPr="00CD4E74">
        <w:rPr>
          <w:spacing w:val="-4"/>
          <w:sz w:val="28"/>
          <w:szCs w:val="28"/>
          <w:lang w:val="it-IT"/>
        </w:rPr>
        <w:t>b</w:t>
      </w:r>
      <w:r w:rsidR="005F5CAC">
        <w:rPr>
          <w:spacing w:val="-4"/>
          <w:sz w:val="28"/>
          <w:szCs w:val="28"/>
          <w:lang w:val="it-IT"/>
        </w:rPr>
        <w:t>)</w:t>
      </w:r>
      <w:r w:rsidR="00CC1C28" w:rsidRPr="00CD4E74">
        <w:rPr>
          <w:spacing w:val="-4"/>
          <w:sz w:val="28"/>
          <w:szCs w:val="28"/>
          <w:lang w:val="vi-VN"/>
        </w:rPr>
        <w:t xml:space="preserve"> </w:t>
      </w:r>
      <w:r w:rsidR="00CC1C28" w:rsidRPr="00CD4E74">
        <w:rPr>
          <w:spacing w:val="-4"/>
          <w:sz w:val="28"/>
          <w:szCs w:val="28"/>
          <w:lang w:val="it-IT"/>
        </w:rPr>
        <w:t>Diện tích chuyển mục đích sử dụng đất trong kỳ điều chỉnh quy hoạch sử dụng đất đến năm 2020</w:t>
      </w:r>
      <w:r w:rsidR="002B5AF7">
        <w:rPr>
          <w:spacing w:val="-4"/>
          <w:sz w:val="28"/>
          <w:szCs w:val="28"/>
          <w:lang w:val="it-IT"/>
        </w:rPr>
        <w:t>.</w:t>
      </w:r>
    </w:p>
    <w:p w:rsidR="00FE18AF" w:rsidRPr="001316C0" w:rsidRDefault="00FE18AF" w:rsidP="00FE18AF">
      <w:pPr>
        <w:widowControl w:val="0"/>
        <w:spacing w:before="120" w:after="120" w:line="288" w:lineRule="auto"/>
        <w:ind w:firstLine="720"/>
        <w:jc w:val="center"/>
        <w:outlineLvl w:val="0"/>
        <w:rPr>
          <w:bCs/>
          <w:i/>
          <w:sz w:val="28"/>
          <w:szCs w:val="28"/>
          <w:lang w:val="it-IT"/>
        </w:rPr>
      </w:pPr>
      <w:r w:rsidRPr="001316C0">
        <w:rPr>
          <w:i/>
          <w:sz w:val="28"/>
          <w:szCs w:val="28"/>
          <w:lang w:val="it-IT"/>
        </w:rPr>
        <w:t xml:space="preserve">(Chi tiết tại Phụ lục </w:t>
      </w:r>
      <w:r w:rsidRPr="001316C0">
        <w:rPr>
          <w:bCs/>
          <w:i/>
          <w:sz w:val="28"/>
          <w:szCs w:val="28"/>
          <w:lang w:val="it-IT"/>
        </w:rPr>
        <w:t>0</w:t>
      </w:r>
      <w:r>
        <w:rPr>
          <w:bCs/>
          <w:i/>
          <w:sz w:val="28"/>
          <w:szCs w:val="28"/>
          <w:lang w:val="it-IT"/>
        </w:rPr>
        <w:t>2</w:t>
      </w:r>
      <w:r w:rsidRPr="001316C0">
        <w:rPr>
          <w:bCs/>
          <w:i/>
          <w:sz w:val="28"/>
          <w:szCs w:val="28"/>
          <w:lang w:val="it-IT"/>
        </w:rPr>
        <w:t xml:space="preserve"> kèm theo)</w:t>
      </w:r>
    </w:p>
    <w:p w:rsidR="00203F58" w:rsidRDefault="001037EC" w:rsidP="001B7CFE">
      <w:pPr>
        <w:widowControl w:val="0"/>
        <w:adjustRightInd w:val="0"/>
        <w:spacing w:before="120" w:after="120"/>
        <w:ind w:firstLine="720"/>
        <w:jc w:val="both"/>
        <w:rPr>
          <w:sz w:val="28"/>
          <w:szCs w:val="28"/>
          <w:lang w:val="it-IT" w:eastAsia="vi-VN"/>
        </w:rPr>
      </w:pPr>
      <w:r w:rsidRPr="00CD4E74">
        <w:rPr>
          <w:iCs/>
          <w:sz w:val="28"/>
          <w:szCs w:val="28"/>
          <w:lang w:val="it-IT"/>
        </w:rPr>
        <w:t>c</w:t>
      </w:r>
      <w:r w:rsidR="005F5CAC">
        <w:rPr>
          <w:iCs/>
          <w:sz w:val="28"/>
          <w:szCs w:val="28"/>
          <w:lang w:val="it-IT"/>
        </w:rPr>
        <w:t>)</w:t>
      </w:r>
      <w:r w:rsidR="00CC1C28" w:rsidRPr="00CD4E74">
        <w:rPr>
          <w:sz w:val="28"/>
          <w:szCs w:val="28"/>
          <w:lang w:val="it-IT" w:eastAsia="vi-VN"/>
        </w:rPr>
        <w:t xml:space="preserve"> Diện tích đất chưa sử dụng đưa vào sử dụng cho các mục đích trong kỳ điều chỉnh quy hoạch sử dụng đất đến năm 2020</w:t>
      </w:r>
      <w:r w:rsidR="002B5AF7">
        <w:rPr>
          <w:sz w:val="28"/>
          <w:szCs w:val="28"/>
          <w:lang w:val="it-IT" w:eastAsia="vi-VN"/>
        </w:rPr>
        <w:t>.</w:t>
      </w:r>
    </w:p>
    <w:p w:rsidR="00FE18AF" w:rsidRPr="001316C0" w:rsidRDefault="00FE18AF" w:rsidP="00FE18AF">
      <w:pPr>
        <w:widowControl w:val="0"/>
        <w:spacing w:before="120" w:after="120" w:line="288" w:lineRule="auto"/>
        <w:ind w:firstLine="720"/>
        <w:jc w:val="center"/>
        <w:outlineLvl w:val="0"/>
        <w:rPr>
          <w:bCs/>
          <w:i/>
          <w:sz w:val="28"/>
          <w:szCs w:val="28"/>
          <w:lang w:val="it-IT"/>
        </w:rPr>
      </w:pPr>
      <w:r w:rsidRPr="001316C0">
        <w:rPr>
          <w:i/>
          <w:sz w:val="28"/>
          <w:szCs w:val="28"/>
          <w:lang w:val="it-IT"/>
        </w:rPr>
        <w:t xml:space="preserve">(Chi tiết tại Phụ lục </w:t>
      </w:r>
      <w:r w:rsidRPr="001316C0">
        <w:rPr>
          <w:bCs/>
          <w:i/>
          <w:sz w:val="28"/>
          <w:szCs w:val="28"/>
          <w:lang w:val="it-IT"/>
        </w:rPr>
        <w:t>0</w:t>
      </w:r>
      <w:r>
        <w:rPr>
          <w:bCs/>
          <w:i/>
          <w:sz w:val="28"/>
          <w:szCs w:val="28"/>
          <w:lang w:val="it-IT"/>
        </w:rPr>
        <w:t>3</w:t>
      </w:r>
      <w:r w:rsidRPr="001316C0">
        <w:rPr>
          <w:bCs/>
          <w:i/>
          <w:sz w:val="28"/>
          <w:szCs w:val="28"/>
          <w:lang w:val="it-IT"/>
        </w:rPr>
        <w:t xml:space="preserve"> kèm theo)</w:t>
      </w:r>
    </w:p>
    <w:p w:rsidR="001037EC" w:rsidRPr="00CD4E74" w:rsidRDefault="00CC1C28" w:rsidP="001B7CFE">
      <w:pPr>
        <w:widowControl w:val="0"/>
        <w:adjustRightInd w:val="0"/>
        <w:spacing w:before="120" w:after="120"/>
        <w:jc w:val="both"/>
        <w:rPr>
          <w:sz w:val="28"/>
          <w:szCs w:val="28"/>
          <w:lang w:val="it-IT"/>
        </w:rPr>
      </w:pPr>
      <w:r w:rsidRPr="00CD4E74">
        <w:rPr>
          <w:sz w:val="28"/>
          <w:szCs w:val="28"/>
          <w:lang w:val="it-IT"/>
        </w:rPr>
        <w:tab/>
      </w:r>
      <w:r w:rsidR="001037EC" w:rsidRPr="00CD4E74">
        <w:rPr>
          <w:sz w:val="28"/>
          <w:szCs w:val="28"/>
          <w:lang w:val="it-IT"/>
        </w:rPr>
        <w:t>2. Kế hoạch sử dụng đất kỳ cuối (2016</w:t>
      </w:r>
      <w:r w:rsidR="005C0DB9">
        <w:rPr>
          <w:sz w:val="28"/>
          <w:szCs w:val="28"/>
          <w:lang w:val="it-IT"/>
        </w:rPr>
        <w:t xml:space="preserve"> </w:t>
      </w:r>
      <w:r w:rsidR="001037EC" w:rsidRPr="00CD4E74">
        <w:rPr>
          <w:sz w:val="28"/>
          <w:szCs w:val="28"/>
          <w:lang w:val="it-IT"/>
        </w:rPr>
        <w:t>-</w:t>
      </w:r>
      <w:r w:rsidR="005C0DB9">
        <w:rPr>
          <w:sz w:val="28"/>
          <w:szCs w:val="28"/>
          <w:lang w:val="it-IT"/>
        </w:rPr>
        <w:t xml:space="preserve"> </w:t>
      </w:r>
      <w:r w:rsidR="001037EC" w:rsidRPr="00CD4E74">
        <w:rPr>
          <w:sz w:val="28"/>
          <w:szCs w:val="28"/>
          <w:lang w:val="it-IT"/>
        </w:rPr>
        <w:t>2020) gồm:</w:t>
      </w:r>
    </w:p>
    <w:p w:rsidR="00203F58" w:rsidRDefault="001037EC" w:rsidP="001B7CFE">
      <w:pPr>
        <w:widowControl w:val="0"/>
        <w:adjustRightInd w:val="0"/>
        <w:spacing w:before="120" w:after="120"/>
        <w:ind w:firstLine="720"/>
        <w:jc w:val="both"/>
        <w:rPr>
          <w:sz w:val="28"/>
          <w:szCs w:val="28"/>
          <w:lang w:val="it-IT"/>
        </w:rPr>
      </w:pPr>
      <w:r w:rsidRPr="00CD4E74">
        <w:rPr>
          <w:sz w:val="28"/>
          <w:szCs w:val="28"/>
          <w:lang w:val="it-IT"/>
        </w:rPr>
        <w:t>a</w:t>
      </w:r>
      <w:r w:rsidR="005F5CAC">
        <w:rPr>
          <w:sz w:val="28"/>
          <w:szCs w:val="28"/>
          <w:lang w:val="it-IT"/>
        </w:rPr>
        <w:t>)</w:t>
      </w:r>
      <w:r w:rsidR="00CC1C28" w:rsidRPr="00CD4E74">
        <w:rPr>
          <w:sz w:val="28"/>
          <w:szCs w:val="28"/>
          <w:lang w:val="it-IT"/>
        </w:rPr>
        <w:t xml:space="preserve"> Phân bổ diện tích các loại đất trong kế hoạch sử dụng đất kỳ cuối (2016</w:t>
      </w:r>
      <w:r w:rsidR="00551E7F">
        <w:rPr>
          <w:sz w:val="28"/>
          <w:szCs w:val="28"/>
          <w:lang w:val="it-IT"/>
        </w:rPr>
        <w:t xml:space="preserve"> </w:t>
      </w:r>
      <w:r w:rsidR="00CC1C28" w:rsidRPr="00CD4E74">
        <w:rPr>
          <w:sz w:val="28"/>
          <w:szCs w:val="28"/>
          <w:lang w:val="it-IT"/>
        </w:rPr>
        <w:t>-</w:t>
      </w:r>
      <w:r w:rsidR="00551E7F">
        <w:rPr>
          <w:sz w:val="28"/>
          <w:szCs w:val="28"/>
          <w:lang w:val="it-IT"/>
        </w:rPr>
        <w:t xml:space="preserve"> </w:t>
      </w:r>
      <w:r w:rsidR="00CC1C28" w:rsidRPr="00CD4E74">
        <w:rPr>
          <w:sz w:val="28"/>
          <w:szCs w:val="28"/>
          <w:lang w:val="it-IT"/>
        </w:rPr>
        <w:t>2020)</w:t>
      </w:r>
      <w:r w:rsidR="002B5AF7">
        <w:rPr>
          <w:sz w:val="28"/>
          <w:szCs w:val="28"/>
          <w:lang w:val="it-IT"/>
        </w:rPr>
        <w:t>.</w:t>
      </w:r>
    </w:p>
    <w:p w:rsidR="00FE18AF" w:rsidRPr="001316C0" w:rsidRDefault="00FE18AF" w:rsidP="00FE18AF">
      <w:pPr>
        <w:widowControl w:val="0"/>
        <w:spacing w:before="120" w:after="120" w:line="288" w:lineRule="auto"/>
        <w:ind w:firstLine="720"/>
        <w:jc w:val="center"/>
        <w:outlineLvl w:val="0"/>
        <w:rPr>
          <w:bCs/>
          <w:i/>
          <w:sz w:val="28"/>
          <w:szCs w:val="28"/>
          <w:lang w:val="it-IT"/>
        </w:rPr>
      </w:pPr>
      <w:r w:rsidRPr="001316C0">
        <w:rPr>
          <w:i/>
          <w:sz w:val="28"/>
          <w:szCs w:val="28"/>
          <w:lang w:val="it-IT"/>
        </w:rPr>
        <w:t xml:space="preserve">(Chi tiết tại Phụ lục </w:t>
      </w:r>
      <w:r w:rsidRPr="001316C0">
        <w:rPr>
          <w:bCs/>
          <w:i/>
          <w:sz w:val="28"/>
          <w:szCs w:val="28"/>
          <w:lang w:val="it-IT"/>
        </w:rPr>
        <w:t>0</w:t>
      </w:r>
      <w:r>
        <w:rPr>
          <w:bCs/>
          <w:i/>
          <w:sz w:val="28"/>
          <w:szCs w:val="28"/>
          <w:lang w:val="it-IT"/>
        </w:rPr>
        <w:t>4</w:t>
      </w:r>
      <w:r w:rsidRPr="001316C0">
        <w:rPr>
          <w:bCs/>
          <w:i/>
          <w:sz w:val="28"/>
          <w:szCs w:val="28"/>
          <w:lang w:val="it-IT"/>
        </w:rPr>
        <w:t xml:space="preserve"> kèm theo)</w:t>
      </w:r>
    </w:p>
    <w:p w:rsidR="00203F58" w:rsidRDefault="00CC1C28" w:rsidP="001B7CFE">
      <w:pPr>
        <w:widowControl w:val="0"/>
        <w:spacing w:before="120" w:after="120"/>
        <w:jc w:val="both"/>
        <w:rPr>
          <w:sz w:val="28"/>
          <w:szCs w:val="28"/>
          <w:lang w:val="nl-NL"/>
        </w:rPr>
      </w:pPr>
      <w:r w:rsidRPr="00CD4E74">
        <w:rPr>
          <w:sz w:val="28"/>
          <w:szCs w:val="28"/>
          <w:lang w:val="nl-NL"/>
        </w:rPr>
        <w:tab/>
      </w:r>
      <w:r w:rsidR="001037EC" w:rsidRPr="00CD4E74">
        <w:rPr>
          <w:sz w:val="28"/>
          <w:szCs w:val="28"/>
          <w:lang w:val="nl-NL"/>
        </w:rPr>
        <w:t>b</w:t>
      </w:r>
      <w:r w:rsidR="005F5CAC">
        <w:rPr>
          <w:sz w:val="28"/>
          <w:szCs w:val="28"/>
          <w:lang w:val="nl-NL"/>
        </w:rPr>
        <w:t>)</w:t>
      </w:r>
      <w:r w:rsidRPr="00CD4E74">
        <w:rPr>
          <w:sz w:val="28"/>
          <w:szCs w:val="28"/>
          <w:lang w:val="nl-NL"/>
        </w:rPr>
        <w:t xml:space="preserve"> Kế hoạch chuyển mục đích sử dụng đất trong kế hoạch sử dụng đất kỳ cuối (2016</w:t>
      </w:r>
      <w:r w:rsidR="00551E7F">
        <w:rPr>
          <w:sz w:val="28"/>
          <w:szCs w:val="28"/>
          <w:lang w:val="nl-NL"/>
        </w:rPr>
        <w:t xml:space="preserve"> </w:t>
      </w:r>
      <w:r w:rsidRPr="00CD4E74">
        <w:rPr>
          <w:sz w:val="28"/>
          <w:szCs w:val="28"/>
          <w:lang w:val="nl-NL"/>
        </w:rPr>
        <w:t>-</w:t>
      </w:r>
      <w:r w:rsidR="00551E7F">
        <w:rPr>
          <w:sz w:val="28"/>
          <w:szCs w:val="28"/>
          <w:lang w:val="nl-NL"/>
        </w:rPr>
        <w:t xml:space="preserve"> </w:t>
      </w:r>
      <w:r w:rsidRPr="00CD4E74">
        <w:rPr>
          <w:sz w:val="28"/>
          <w:szCs w:val="28"/>
          <w:lang w:val="nl-NL"/>
        </w:rPr>
        <w:t>2020)</w:t>
      </w:r>
      <w:r w:rsidR="002B5AF7">
        <w:rPr>
          <w:sz w:val="28"/>
          <w:szCs w:val="28"/>
          <w:lang w:val="nl-NL"/>
        </w:rPr>
        <w:t>.</w:t>
      </w:r>
    </w:p>
    <w:p w:rsidR="00FE18AF" w:rsidRPr="001316C0" w:rsidRDefault="00FE18AF" w:rsidP="00FE18AF">
      <w:pPr>
        <w:widowControl w:val="0"/>
        <w:spacing w:before="120" w:after="120" w:line="288" w:lineRule="auto"/>
        <w:ind w:firstLine="720"/>
        <w:jc w:val="center"/>
        <w:outlineLvl w:val="0"/>
        <w:rPr>
          <w:bCs/>
          <w:i/>
          <w:sz w:val="28"/>
          <w:szCs w:val="28"/>
          <w:lang w:val="it-IT"/>
        </w:rPr>
      </w:pPr>
      <w:r w:rsidRPr="001316C0">
        <w:rPr>
          <w:i/>
          <w:sz w:val="28"/>
          <w:szCs w:val="28"/>
          <w:lang w:val="it-IT"/>
        </w:rPr>
        <w:t xml:space="preserve">(Chi tiết tại Phụ lục </w:t>
      </w:r>
      <w:r>
        <w:rPr>
          <w:bCs/>
          <w:i/>
          <w:sz w:val="28"/>
          <w:szCs w:val="28"/>
          <w:lang w:val="it-IT"/>
        </w:rPr>
        <w:t>05</w:t>
      </w:r>
      <w:r w:rsidRPr="001316C0">
        <w:rPr>
          <w:bCs/>
          <w:i/>
          <w:sz w:val="28"/>
          <w:szCs w:val="28"/>
          <w:lang w:val="it-IT"/>
        </w:rPr>
        <w:t xml:space="preserve"> kèm theo)</w:t>
      </w:r>
    </w:p>
    <w:p w:rsidR="00203F58" w:rsidRDefault="00CC1C28" w:rsidP="001B7CFE">
      <w:pPr>
        <w:widowControl w:val="0"/>
        <w:spacing w:before="120" w:after="120"/>
        <w:jc w:val="both"/>
        <w:rPr>
          <w:sz w:val="28"/>
          <w:szCs w:val="28"/>
          <w:lang w:val="nl-NL"/>
        </w:rPr>
      </w:pPr>
      <w:r w:rsidRPr="00CD4E74">
        <w:rPr>
          <w:sz w:val="28"/>
          <w:szCs w:val="28"/>
          <w:lang w:val="nl-NL"/>
        </w:rPr>
        <w:tab/>
      </w:r>
      <w:r w:rsidR="001037EC" w:rsidRPr="00CD4E74">
        <w:rPr>
          <w:sz w:val="28"/>
          <w:szCs w:val="28"/>
          <w:lang w:val="nl-NL"/>
        </w:rPr>
        <w:t>c</w:t>
      </w:r>
      <w:r w:rsidR="005F5CAC">
        <w:rPr>
          <w:sz w:val="28"/>
          <w:szCs w:val="28"/>
          <w:lang w:val="nl-NL"/>
        </w:rPr>
        <w:t>)</w:t>
      </w:r>
      <w:r w:rsidRPr="00CD4E74">
        <w:rPr>
          <w:sz w:val="28"/>
          <w:szCs w:val="28"/>
          <w:lang w:val="nl-NL"/>
        </w:rPr>
        <w:t xml:space="preserve"> Kế hoạch đưa đất chưa sử dụng vào sử dụng trong kế hoạch sử dụng đất kỳ cuối (2016</w:t>
      </w:r>
      <w:r w:rsidR="00551E7F">
        <w:rPr>
          <w:sz w:val="28"/>
          <w:szCs w:val="28"/>
          <w:lang w:val="nl-NL"/>
        </w:rPr>
        <w:t xml:space="preserve"> </w:t>
      </w:r>
      <w:r w:rsidRPr="00CD4E74">
        <w:rPr>
          <w:sz w:val="28"/>
          <w:szCs w:val="28"/>
          <w:lang w:val="nl-NL"/>
        </w:rPr>
        <w:t>-</w:t>
      </w:r>
      <w:r w:rsidR="00551E7F">
        <w:rPr>
          <w:sz w:val="28"/>
          <w:szCs w:val="28"/>
          <w:lang w:val="nl-NL"/>
        </w:rPr>
        <w:t xml:space="preserve"> </w:t>
      </w:r>
      <w:r w:rsidRPr="00CD4E74">
        <w:rPr>
          <w:sz w:val="28"/>
          <w:szCs w:val="28"/>
          <w:lang w:val="nl-NL"/>
        </w:rPr>
        <w:t>2020)</w:t>
      </w:r>
      <w:r w:rsidR="002B5AF7">
        <w:rPr>
          <w:sz w:val="28"/>
          <w:szCs w:val="28"/>
          <w:lang w:val="nl-NL"/>
        </w:rPr>
        <w:t>.</w:t>
      </w:r>
    </w:p>
    <w:p w:rsidR="00FE18AF" w:rsidRPr="001316C0" w:rsidRDefault="00FE18AF" w:rsidP="00FE18AF">
      <w:pPr>
        <w:widowControl w:val="0"/>
        <w:spacing w:before="120" w:after="120" w:line="288" w:lineRule="auto"/>
        <w:ind w:firstLine="720"/>
        <w:jc w:val="center"/>
        <w:outlineLvl w:val="0"/>
        <w:rPr>
          <w:bCs/>
          <w:i/>
          <w:sz w:val="28"/>
          <w:szCs w:val="28"/>
          <w:lang w:val="it-IT"/>
        </w:rPr>
      </w:pPr>
      <w:r w:rsidRPr="001316C0">
        <w:rPr>
          <w:i/>
          <w:sz w:val="28"/>
          <w:szCs w:val="28"/>
          <w:lang w:val="it-IT"/>
        </w:rPr>
        <w:t xml:space="preserve">(Chi tiết tại Phụ lục </w:t>
      </w:r>
      <w:r w:rsidRPr="001316C0">
        <w:rPr>
          <w:bCs/>
          <w:i/>
          <w:sz w:val="28"/>
          <w:szCs w:val="28"/>
          <w:lang w:val="it-IT"/>
        </w:rPr>
        <w:t>0</w:t>
      </w:r>
      <w:r>
        <w:rPr>
          <w:bCs/>
          <w:i/>
          <w:sz w:val="28"/>
          <w:szCs w:val="28"/>
          <w:lang w:val="it-IT"/>
        </w:rPr>
        <w:t>6</w:t>
      </w:r>
      <w:r w:rsidRPr="001316C0">
        <w:rPr>
          <w:bCs/>
          <w:i/>
          <w:sz w:val="28"/>
          <w:szCs w:val="28"/>
          <w:lang w:val="it-IT"/>
        </w:rPr>
        <w:t xml:space="preserve"> kèm theo)</w:t>
      </w:r>
    </w:p>
    <w:p w:rsidR="00181B7A" w:rsidRPr="00CD4E74" w:rsidRDefault="00181B7A" w:rsidP="001B7CFE">
      <w:pPr>
        <w:widowControl w:val="0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CD4E74">
        <w:rPr>
          <w:iCs/>
          <w:sz w:val="28"/>
          <w:szCs w:val="28"/>
          <w:lang w:val="pt-BR"/>
        </w:rPr>
        <w:t xml:space="preserve"> </w:t>
      </w:r>
      <w:r w:rsidRPr="00CD4E74">
        <w:rPr>
          <w:b/>
          <w:sz w:val="28"/>
          <w:szCs w:val="28"/>
          <w:lang w:val="vi-VN"/>
        </w:rPr>
        <w:t>Điều 2.</w:t>
      </w:r>
      <w:r w:rsidRPr="00CD4E74">
        <w:rPr>
          <w:sz w:val="28"/>
          <w:szCs w:val="28"/>
          <w:lang w:val="pt-BR"/>
        </w:rPr>
        <w:t xml:space="preserve"> </w:t>
      </w:r>
      <w:r w:rsidRPr="00CD4E74">
        <w:rPr>
          <w:sz w:val="28"/>
          <w:szCs w:val="28"/>
          <w:lang w:val="vi-VN"/>
        </w:rPr>
        <w:t>Giao U</w:t>
      </w:r>
      <w:r w:rsidRPr="00CD4E74">
        <w:rPr>
          <w:sz w:val="28"/>
          <w:szCs w:val="28"/>
          <w:lang w:val="pt-BR"/>
        </w:rPr>
        <w:t>ỷ ban nhân dân</w:t>
      </w:r>
      <w:r w:rsidRPr="00CD4E74">
        <w:rPr>
          <w:sz w:val="28"/>
          <w:szCs w:val="28"/>
          <w:lang w:val="vi-VN"/>
        </w:rPr>
        <w:t xml:space="preserve"> tỉnh:</w:t>
      </w:r>
    </w:p>
    <w:p w:rsidR="00B2434D" w:rsidRPr="00996653" w:rsidRDefault="00181B7A" w:rsidP="001B7CFE">
      <w:pPr>
        <w:widowControl w:val="0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996653">
        <w:rPr>
          <w:sz w:val="28"/>
          <w:szCs w:val="28"/>
          <w:lang w:val="vi-VN"/>
        </w:rPr>
        <w:t xml:space="preserve">1. Hoàn thiện hồ sơ, thủ tục </w:t>
      </w:r>
      <w:r w:rsidR="00B2434D" w:rsidRPr="00996653">
        <w:rPr>
          <w:sz w:val="28"/>
          <w:szCs w:val="28"/>
          <w:lang w:val="vi-VN"/>
        </w:rPr>
        <w:t xml:space="preserve">báo cáo Bộ Tài nguyên và Môi trường xem xét xác nhận </w:t>
      </w:r>
      <w:r w:rsidR="00B2434D" w:rsidRPr="00996653">
        <w:rPr>
          <w:sz w:val="28"/>
          <w:szCs w:val="28"/>
          <w:lang w:val="nl-NL"/>
        </w:rPr>
        <w:t>hồ sơ điều chỉnh quy hoạch sử dụng đất đến năm 2020 và kế hoạch sử dụng đất kỳ cuối (2016</w:t>
      </w:r>
      <w:r w:rsidR="0038278C" w:rsidRPr="00996653">
        <w:rPr>
          <w:sz w:val="28"/>
          <w:szCs w:val="28"/>
          <w:lang w:val="nl-NL"/>
        </w:rPr>
        <w:t xml:space="preserve"> </w:t>
      </w:r>
      <w:r w:rsidR="00B2434D" w:rsidRPr="00996653">
        <w:rPr>
          <w:sz w:val="28"/>
          <w:szCs w:val="28"/>
          <w:lang w:val="nl-NL"/>
        </w:rPr>
        <w:t>- 2020) tỉnh Yên Bái.</w:t>
      </w:r>
    </w:p>
    <w:p w:rsidR="00181B7A" w:rsidRPr="00996653" w:rsidRDefault="00181B7A" w:rsidP="001B7CFE">
      <w:pPr>
        <w:widowControl w:val="0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996653">
        <w:rPr>
          <w:sz w:val="28"/>
          <w:szCs w:val="28"/>
          <w:lang w:val="vi-VN"/>
        </w:rPr>
        <w:t xml:space="preserve">2. Tổ chức triển khai thực hiện quy hoạch, kế hoạch </w:t>
      </w:r>
      <w:r w:rsidR="00B2434D" w:rsidRPr="00996653">
        <w:rPr>
          <w:sz w:val="28"/>
          <w:szCs w:val="28"/>
          <w:lang w:val="vi-VN"/>
        </w:rPr>
        <w:t>theo Nghị quyết số 57/NQ-CP ngày 17 tháng 5 năm 2018 của Chính phủ về điều chỉnh quy hoạch sử dụng đất đến năm 2020 và kế hoạch sử dụng đất kỳ cuối (2016</w:t>
      </w:r>
      <w:r w:rsidR="0038278C" w:rsidRPr="00996653">
        <w:rPr>
          <w:sz w:val="28"/>
          <w:szCs w:val="28"/>
        </w:rPr>
        <w:t xml:space="preserve"> </w:t>
      </w:r>
      <w:r w:rsidR="00B2434D" w:rsidRPr="00996653">
        <w:rPr>
          <w:sz w:val="28"/>
          <w:szCs w:val="28"/>
          <w:lang w:val="vi-VN"/>
        </w:rPr>
        <w:t>-</w:t>
      </w:r>
      <w:r w:rsidR="0038278C" w:rsidRPr="00996653">
        <w:rPr>
          <w:sz w:val="28"/>
          <w:szCs w:val="28"/>
        </w:rPr>
        <w:t xml:space="preserve"> </w:t>
      </w:r>
      <w:r w:rsidR="00B2434D" w:rsidRPr="00996653">
        <w:rPr>
          <w:sz w:val="28"/>
          <w:szCs w:val="28"/>
          <w:lang w:val="vi-VN"/>
        </w:rPr>
        <w:t>2020) tỉnh Yên Bái</w:t>
      </w:r>
      <w:r w:rsidRPr="00996653">
        <w:rPr>
          <w:sz w:val="28"/>
          <w:szCs w:val="28"/>
          <w:lang w:val="vi-VN"/>
        </w:rPr>
        <w:t>.</w:t>
      </w:r>
      <w:r w:rsidR="00B2434D" w:rsidRPr="00996653">
        <w:rPr>
          <w:sz w:val="28"/>
          <w:szCs w:val="28"/>
          <w:lang w:val="vi-VN"/>
        </w:rPr>
        <w:t xml:space="preserve"> T</w:t>
      </w:r>
      <w:r w:rsidRPr="00996653">
        <w:rPr>
          <w:sz w:val="28"/>
          <w:szCs w:val="28"/>
          <w:lang w:val="vi-VN"/>
        </w:rPr>
        <w:t>ổ chức phê duyệt điều chỉnh quy hoạch sử dụng đất đến năm 2020, kế hoạch sử dụng đất h</w:t>
      </w:r>
      <w:r w:rsidR="00107B09" w:rsidRPr="00996653">
        <w:rPr>
          <w:sz w:val="28"/>
          <w:szCs w:val="28"/>
        </w:rPr>
        <w:t>ằ</w:t>
      </w:r>
      <w:r w:rsidRPr="00996653">
        <w:rPr>
          <w:sz w:val="28"/>
          <w:szCs w:val="28"/>
          <w:lang w:val="vi-VN"/>
        </w:rPr>
        <w:t>ng năm cấp huyện theo quy định.</w:t>
      </w:r>
    </w:p>
    <w:p w:rsidR="00E36E02" w:rsidRPr="00E36E02" w:rsidRDefault="00E36E02" w:rsidP="00E36E02">
      <w:pPr>
        <w:spacing w:before="60" w:after="60" w:line="288" w:lineRule="auto"/>
        <w:ind w:firstLine="720"/>
        <w:jc w:val="both"/>
        <w:rPr>
          <w:sz w:val="28"/>
          <w:szCs w:val="28"/>
          <w:lang w:val="nl-NL"/>
        </w:rPr>
      </w:pPr>
      <w:r w:rsidRPr="00E36E02">
        <w:rPr>
          <w:b/>
          <w:sz w:val="28"/>
          <w:szCs w:val="28"/>
          <w:lang w:val="nl-NL"/>
        </w:rPr>
        <w:lastRenderedPageBreak/>
        <w:t>Điều 3.</w:t>
      </w:r>
      <w:r w:rsidRPr="00E36E02">
        <w:rPr>
          <w:sz w:val="28"/>
          <w:szCs w:val="28"/>
          <w:lang w:val="nl-NL"/>
        </w:rPr>
        <w:t xml:space="preserve"> Giao Thường trực Hội đồng nhân dân tỉnh, các </w:t>
      </w:r>
      <w:r w:rsidR="00D06591" w:rsidRPr="00D06591">
        <w:rPr>
          <w:color w:val="00B0F0"/>
          <w:sz w:val="28"/>
          <w:szCs w:val="28"/>
          <w:lang w:val="nl-NL"/>
        </w:rPr>
        <w:t>B</w:t>
      </w:r>
      <w:r w:rsidRPr="00E36E02">
        <w:rPr>
          <w:sz w:val="28"/>
          <w:szCs w:val="28"/>
          <w:lang w:val="nl-NL"/>
        </w:rPr>
        <w:t>an của Hội đồng nhân dân</w:t>
      </w:r>
      <w:r w:rsidR="00D06591">
        <w:rPr>
          <w:sz w:val="28"/>
          <w:szCs w:val="28"/>
          <w:lang w:val="nl-NL"/>
        </w:rPr>
        <w:t xml:space="preserve"> </w:t>
      </w:r>
      <w:r w:rsidR="00D06591" w:rsidRPr="00D06591">
        <w:rPr>
          <w:color w:val="00B0F0"/>
          <w:sz w:val="28"/>
          <w:szCs w:val="28"/>
          <w:lang w:val="nl-NL"/>
        </w:rPr>
        <w:t>tỉnh</w:t>
      </w:r>
      <w:r w:rsidRPr="00E36E02">
        <w:rPr>
          <w:sz w:val="28"/>
          <w:szCs w:val="28"/>
          <w:lang w:val="nl-NL"/>
        </w:rPr>
        <w:t xml:space="preserve">, các </w:t>
      </w:r>
      <w:r w:rsidR="00D06591" w:rsidRPr="00D06591">
        <w:rPr>
          <w:color w:val="00B0F0"/>
          <w:sz w:val="28"/>
          <w:szCs w:val="28"/>
          <w:lang w:val="nl-NL"/>
        </w:rPr>
        <w:t>T</w:t>
      </w:r>
      <w:r w:rsidRPr="00E36E02">
        <w:rPr>
          <w:sz w:val="28"/>
          <w:szCs w:val="28"/>
          <w:lang w:val="nl-NL"/>
        </w:rPr>
        <w:t>ổ đại biểu và các đại biểu Hội đồng nhân dân tỉnh giám sát việc thực hiện Nghị quyết này.</w:t>
      </w:r>
    </w:p>
    <w:p w:rsidR="00E36E02" w:rsidRDefault="00E36E02" w:rsidP="00E36E02">
      <w:pPr>
        <w:spacing w:before="60" w:after="60" w:line="288" w:lineRule="auto"/>
        <w:ind w:firstLine="720"/>
        <w:jc w:val="both"/>
        <w:rPr>
          <w:sz w:val="28"/>
          <w:szCs w:val="28"/>
          <w:lang w:val="nl-NL"/>
        </w:rPr>
      </w:pPr>
      <w:r w:rsidRPr="00E36E02">
        <w:rPr>
          <w:sz w:val="28"/>
          <w:szCs w:val="28"/>
          <w:lang w:val="nl-NL"/>
        </w:rPr>
        <w:t>Nghị quyết này đã được Hội đồng nhân dân tỉnh Yên Bái khoá XVIII</w:t>
      </w:r>
      <w:r w:rsidR="005C0DB9">
        <w:rPr>
          <w:sz w:val="28"/>
          <w:szCs w:val="28"/>
          <w:lang w:val="nl-NL"/>
        </w:rPr>
        <w:t xml:space="preserve"> - Kỳ họp thứ 10 thông qua ngày </w:t>
      </w:r>
      <w:r w:rsidR="002F01A9">
        <w:rPr>
          <w:sz w:val="28"/>
          <w:szCs w:val="28"/>
          <w:lang w:val="nl-NL"/>
        </w:rPr>
        <w:t>02</w:t>
      </w:r>
      <w:r w:rsidR="005C0DB9">
        <w:rPr>
          <w:sz w:val="28"/>
          <w:szCs w:val="28"/>
          <w:lang w:val="nl-NL"/>
        </w:rPr>
        <w:t xml:space="preserve"> tháng 8</w:t>
      </w:r>
      <w:r w:rsidRPr="00E36E02">
        <w:rPr>
          <w:sz w:val="28"/>
          <w:szCs w:val="28"/>
          <w:lang w:val="nl-NL"/>
        </w:rPr>
        <w:t xml:space="preserve"> năm 2018./.</w:t>
      </w:r>
    </w:p>
    <w:p w:rsidR="005409AC" w:rsidRPr="00E36E02" w:rsidRDefault="005C0DB9" w:rsidP="00E36E02">
      <w:pPr>
        <w:spacing w:before="60" w:after="60" w:line="288" w:lineRule="auto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</w:p>
    <w:tbl>
      <w:tblPr>
        <w:tblW w:w="9089" w:type="dxa"/>
        <w:tblInd w:w="108" w:type="dxa"/>
        <w:tblLook w:val="01E0"/>
      </w:tblPr>
      <w:tblGrid>
        <w:gridCol w:w="4697"/>
        <w:gridCol w:w="4392"/>
      </w:tblGrid>
      <w:tr w:rsidR="00E36E02" w:rsidRPr="00CA3F0F" w:rsidTr="00E36E02">
        <w:tc>
          <w:tcPr>
            <w:tcW w:w="4697" w:type="dxa"/>
          </w:tcPr>
          <w:p w:rsidR="00E36E02" w:rsidRPr="000B6C2D" w:rsidRDefault="00E36E02" w:rsidP="00E36E02">
            <w:pPr>
              <w:widowControl w:val="0"/>
              <w:ind w:left="-108"/>
              <w:jc w:val="both"/>
              <w:rPr>
                <w:b/>
                <w:i/>
                <w:sz w:val="22"/>
                <w:szCs w:val="22"/>
                <w:lang w:val="vi-VN"/>
              </w:rPr>
            </w:pPr>
            <w:r w:rsidRPr="000B6C2D">
              <w:rPr>
                <w:b/>
                <w:i/>
                <w:sz w:val="22"/>
                <w:szCs w:val="22"/>
                <w:lang w:val="vi-VN"/>
              </w:rPr>
              <w:t>Nơi nhận:</w:t>
            </w:r>
            <w:r w:rsidRPr="000B6C2D">
              <w:rPr>
                <w:b/>
                <w:i/>
                <w:sz w:val="22"/>
                <w:szCs w:val="22"/>
                <w:lang w:val="vi-VN"/>
              </w:rPr>
              <w:tab/>
            </w:r>
            <w:r w:rsidRPr="000B6C2D">
              <w:rPr>
                <w:b/>
                <w:i/>
                <w:sz w:val="22"/>
                <w:szCs w:val="22"/>
                <w:lang w:val="vi-VN"/>
              </w:rPr>
              <w:tab/>
            </w:r>
            <w:r w:rsidRPr="000B6C2D">
              <w:rPr>
                <w:b/>
                <w:i/>
                <w:sz w:val="22"/>
                <w:szCs w:val="22"/>
                <w:lang w:val="vi-VN"/>
              </w:rPr>
              <w:tab/>
            </w:r>
            <w:r w:rsidRPr="000B6C2D">
              <w:rPr>
                <w:b/>
                <w:i/>
                <w:sz w:val="22"/>
                <w:szCs w:val="22"/>
                <w:lang w:val="vi-VN"/>
              </w:rPr>
              <w:tab/>
            </w:r>
          </w:p>
          <w:p w:rsidR="00E36E02" w:rsidRPr="000B6C2D" w:rsidRDefault="00B85707" w:rsidP="00E36E02">
            <w:pPr>
              <w:widowControl w:val="0"/>
              <w:ind w:left="-108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Ủy ban </w:t>
            </w:r>
            <w:r w:rsidR="00AE48DD">
              <w:rPr>
                <w:sz w:val="22"/>
                <w:szCs w:val="22"/>
              </w:rPr>
              <w:t>t</w:t>
            </w:r>
            <w:r w:rsidR="00E36E02" w:rsidRPr="000B6C2D">
              <w:rPr>
                <w:sz w:val="22"/>
                <w:szCs w:val="22"/>
                <w:lang w:val="vi-VN"/>
              </w:rPr>
              <w:t>hường vụ Quốc hội;</w:t>
            </w:r>
          </w:p>
          <w:p w:rsidR="00E36E02" w:rsidRPr="000B6C2D" w:rsidRDefault="00E36E02" w:rsidP="00E36E02">
            <w:pPr>
              <w:widowControl w:val="0"/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0B6C2D">
              <w:rPr>
                <w:sz w:val="22"/>
                <w:szCs w:val="22"/>
                <w:lang w:val="vi-VN"/>
              </w:rPr>
              <w:t>- Chính phủ;</w:t>
            </w:r>
          </w:p>
          <w:p w:rsidR="00E36E02" w:rsidRPr="000B6C2D" w:rsidRDefault="00E36E02" w:rsidP="00E36E02">
            <w:pPr>
              <w:widowControl w:val="0"/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0B6C2D">
              <w:rPr>
                <w:sz w:val="22"/>
                <w:szCs w:val="22"/>
                <w:lang w:val="vi-VN"/>
              </w:rPr>
              <w:t>- Bộ Tài nguyên và Môi trường;</w:t>
            </w:r>
          </w:p>
          <w:p w:rsidR="00E36E02" w:rsidRPr="000B6C2D" w:rsidRDefault="00E36E02" w:rsidP="00E36E02">
            <w:pPr>
              <w:widowControl w:val="0"/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0B6C2D">
              <w:rPr>
                <w:sz w:val="22"/>
                <w:szCs w:val="22"/>
                <w:lang w:val="vi-VN"/>
              </w:rPr>
              <w:t>- Thường trực Tỉnh uỷ;</w:t>
            </w:r>
          </w:p>
          <w:p w:rsidR="00E36E02" w:rsidRPr="000B6C2D" w:rsidRDefault="00E36E02" w:rsidP="00E36E02">
            <w:pPr>
              <w:widowControl w:val="0"/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0B6C2D">
              <w:rPr>
                <w:sz w:val="22"/>
                <w:szCs w:val="22"/>
                <w:lang w:val="vi-VN"/>
              </w:rPr>
              <w:t>- Thường trực HĐND tỉnh;</w:t>
            </w:r>
          </w:p>
          <w:p w:rsidR="00E36E02" w:rsidRPr="000B6C2D" w:rsidRDefault="00E36E02" w:rsidP="00E36E02">
            <w:pPr>
              <w:widowControl w:val="0"/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0B6C2D">
              <w:rPr>
                <w:sz w:val="22"/>
                <w:szCs w:val="22"/>
                <w:lang w:val="vi-VN"/>
              </w:rPr>
              <w:t>- Ủy ban nhân dân tỉnh;</w:t>
            </w:r>
          </w:p>
          <w:p w:rsidR="00E36E02" w:rsidRPr="000B6C2D" w:rsidRDefault="00E36E02" w:rsidP="00E36E02">
            <w:pPr>
              <w:widowControl w:val="0"/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0B6C2D">
              <w:rPr>
                <w:sz w:val="22"/>
                <w:szCs w:val="22"/>
                <w:lang w:val="vi-VN"/>
              </w:rPr>
              <w:t>- Ủy ban MTTQ Việt Nam tỉnh;</w:t>
            </w:r>
          </w:p>
          <w:p w:rsidR="00E36E02" w:rsidRPr="000B6C2D" w:rsidRDefault="00E36E02" w:rsidP="00E36E02">
            <w:pPr>
              <w:widowControl w:val="0"/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0B6C2D">
              <w:rPr>
                <w:sz w:val="22"/>
                <w:szCs w:val="22"/>
                <w:lang w:val="vi-VN"/>
              </w:rPr>
              <w:t xml:space="preserve">- Đoàn đại biểu Quốc hội tỉnh; </w:t>
            </w:r>
          </w:p>
          <w:p w:rsidR="00E36E02" w:rsidRPr="000B6C2D" w:rsidRDefault="00E36E02" w:rsidP="00E36E02">
            <w:pPr>
              <w:widowControl w:val="0"/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0B6C2D">
              <w:rPr>
                <w:sz w:val="22"/>
                <w:szCs w:val="22"/>
                <w:lang w:val="vi-VN"/>
              </w:rPr>
              <w:t>- Các cơ quan, ban, ngành, đoàn thể cấp tỉnh;</w:t>
            </w:r>
          </w:p>
          <w:p w:rsidR="00E36E02" w:rsidRPr="000B6C2D" w:rsidRDefault="00E36E02" w:rsidP="00E36E02">
            <w:pPr>
              <w:widowControl w:val="0"/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0B6C2D">
              <w:rPr>
                <w:sz w:val="22"/>
                <w:szCs w:val="22"/>
                <w:lang w:val="vi-VN"/>
              </w:rPr>
              <w:t>- Các đại biểu HĐND tỉnh;</w:t>
            </w:r>
          </w:p>
          <w:p w:rsidR="00E36E02" w:rsidRPr="000B6C2D" w:rsidRDefault="00E36E02" w:rsidP="00E36E02">
            <w:pPr>
              <w:widowControl w:val="0"/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0B6C2D">
              <w:rPr>
                <w:sz w:val="22"/>
                <w:szCs w:val="22"/>
                <w:lang w:val="vi-VN"/>
              </w:rPr>
              <w:t>- TT. HĐND các huyện, thị xã, thành phố;</w:t>
            </w:r>
          </w:p>
          <w:p w:rsidR="00E36E02" w:rsidRPr="000B6C2D" w:rsidRDefault="00E36E02" w:rsidP="00E36E02">
            <w:pPr>
              <w:widowControl w:val="0"/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0B6C2D">
              <w:rPr>
                <w:sz w:val="22"/>
                <w:szCs w:val="22"/>
                <w:lang w:val="vi-VN"/>
              </w:rPr>
              <w:t>- UBND các huyện, thị xã, thành phố;</w:t>
            </w:r>
          </w:p>
          <w:p w:rsidR="00E36E02" w:rsidRPr="00D06591" w:rsidRDefault="00E36E02" w:rsidP="00E36E02">
            <w:pPr>
              <w:widowControl w:val="0"/>
              <w:ind w:left="-108"/>
              <w:jc w:val="both"/>
              <w:rPr>
                <w:sz w:val="22"/>
                <w:szCs w:val="22"/>
              </w:rPr>
            </w:pPr>
            <w:r w:rsidRPr="000B6C2D">
              <w:rPr>
                <w:sz w:val="22"/>
                <w:szCs w:val="22"/>
                <w:lang w:val="vi-VN"/>
              </w:rPr>
              <w:t>- Lưu: VT, KTNS</w:t>
            </w:r>
            <w:r w:rsidR="00D06591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</w:tcPr>
          <w:p w:rsidR="00E36E02" w:rsidRPr="00E36E02" w:rsidRDefault="00E36E02" w:rsidP="00E36E0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36E02">
              <w:rPr>
                <w:b/>
                <w:sz w:val="28"/>
                <w:szCs w:val="28"/>
              </w:rPr>
              <w:t>CHỦ TỊCH</w:t>
            </w:r>
          </w:p>
          <w:p w:rsidR="00E36E02" w:rsidRPr="00E36E02" w:rsidRDefault="00E36E02" w:rsidP="00E36E0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E36E02" w:rsidRPr="00E36E02" w:rsidRDefault="00E36E02" w:rsidP="00E36E0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E36E02" w:rsidRDefault="00E36E02" w:rsidP="00E36E0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E48DD" w:rsidRDefault="00AE48DD" w:rsidP="00E36E0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E48DD" w:rsidRPr="00E36E02" w:rsidRDefault="00AE48DD" w:rsidP="00E36E0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E36E02" w:rsidRPr="00E36E02" w:rsidRDefault="00E36E02" w:rsidP="00E36E0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E36E02" w:rsidRPr="00E36E02" w:rsidRDefault="00E36E02" w:rsidP="00E36E0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E36E02" w:rsidRPr="00E36E02" w:rsidRDefault="00E36E02" w:rsidP="00E36E0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36E02">
              <w:rPr>
                <w:b/>
                <w:sz w:val="28"/>
                <w:szCs w:val="28"/>
              </w:rPr>
              <w:t>Phạm Thị Thanh Trà</w:t>
            </w:r>
          </w:p>
          <w:p w:rsidR="00E36E02" w:rsidRPr="00E36E02" w:rsidRDefault="00E36E02" w:rsidP="00E36E0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4E74" w:rsidRPr="00CD4E74" w:rsidTr="00137E36">
        <w:tc>
          <w:tcPr>
            <w:tcW w:w="4697" w:type="dxa"/>
          </w:tcPr>
          <w:p w:rsidR="00181B7A" w:rsidRPr="00CD4E74" w:rsidRDefault="00181B7A" w:rsidP="00CC1C28">
            <w:pPr>
              <w:widowControl w:val="0"/>
              <w:ind w:left="-108"/>
              <w:jc w:val="both"/>
              <w:rPr>
                <w:lang w:val="nl-NL"/>
              </w:rPr>
            </w:pPr>
          </w:p>
        </w:tc>
        <w:tc>
          <w:tcPr>
            <w:tcW w:w="4392" w:type="dxa"/>
          </w:tcPr>
          <w:p w:rsidR="00CD4E74" w:rsidRPr="00CD4E74" w:rsidRDefault="00CD4E74" w:rsidP="00CD4E74">
            <w:pPr>
              <w:widowControl w:val="0"/>
              <w:jc w:val="center"/>
              <w:rPr>
                <w:b/>
              </w:rPr>
            </w:pPr>
          </w:p>
        </w:tc>
      </w:tr>
    </w:tbl>
    <w:p w:rsidR="00181B7A" w:rsidRPr="00981AAA" w:rsidRDefault="00181B7A" w:rsidP="00C93D22">
      <w:pPr>
        <w:widowControl w:val="0"/>
        <w:rPr>
          <w:b/>
          <w:sz w:val="2"/>
          <w:szCs w:val="26"/>
        </w:rPr>
      </w:pPr>
    </w:p>
    <w:sectPr w:rsidR="00181B7A" w:rsidRPr="00981AAA" w:rsidSect="00CF4EC2">
      <w:footerReference w:type="default" r:id="rId11"/>
      <w:pgSz w:w="11906" w:h="16838" w:code="9"/>
      <w:pgMar w:top="1134" w:right="1134" w:bottom="1134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61" w:rsidRDefault="00324A61" w:rsidP="00265F9C">
      <w:r>
        <w:separator/>
      </w:r>
    </w:p>
  </w:endnote>
  <w:endnote w:type="continuationSeparator" w:id="0">
    <w:p w:rsidR="00324A61" w:rsidRDefault="00324A61" w:rsidP="0026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35" w:rsidRPr="00181B7A" w:rsidRDefault="00250AA4">
    <w:pPr>
      <w:pStyle w:val="Footer"/>
      <w:jc w:val="right"/>
      <w:rPr>
        <w:sz w:val="28"/>
        <w:szCs w:val="28"/>
      </w:rPr>
    </w:pPr>
    <w:r w:rsidRPr="00181B7A">
      <w:rPr>
        <w:sz w:val="28"/>
        <w:szCs w:val="28"/>
      </w:rPr>
      <w:fldChar w:fldCharType="begin"/>
    </w:r>
    <w:r w:rsidR="00426D35" w:rsidRPr="00181B7A">
      <w:rPr>
        <w:sz w:val="28"/>
        <w:szCs w:val="28"/>
      </w:rPr>
      <w:instrText xml:space="preserve"> PAGE   \* MERGEFORMAT </w:instrText>
    </w:r>
    <w:r w:rsidRPr="00181B7A">
      <w:rPr>
        <w:sz w:val="28"/>
        <w:szCs w:val="28"/>
      </w:rPr>
      <w:fldChar w:fldCharType="separate"/>
    </w:r>
    <w:r w:rsidR="00BA4524">
      <w:rPr>
        <w:noProof/>
        <w:sz w:val="28"/>
        <w:szCs w:val="28"/>
      </w:rPr>
      <w:t>3</w:t>
    </w:r>
    <w:r w:rsidRPr="00181B7A">
      <w:rPr>
        <w:noProof/>
        <w:sz w:val="28"/>
        <w:szCs w:val="28"/>
      </w:rPr>
      <w:fldChar w:fldCharType="end"/>
    </w:r>
  </w:p>
  <w:p w:rsidR="00426D35" w:rsidRPr="00181B7A" w:rsidRDefault="00426D35">
    <w:pPr>
      <w:pStyle w:val="Foo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61" w:rsidRDefault="00324A61" w:rsidP="00265F9C">
      <w:r>
        <w:separator/>
      </w:r>
    </w:p>
  </w:footnote>
  <w:footnote w:type="continuationSeparator" w:id="0">
    <w:p w:rsidR="00324A61" w:rsidRDefault="00324A61" w:rsidP="0026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9B600E"/>
    <w:multiLevelType w:val="hybridMultilevel"/>
    <w:tmpl w:val="298C55D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C1E"/>
    <w:multiLevelType w:val="hybridMultilevel"/>
    <w:tmpl w:val="298C55D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F9C"/>
    <w:rsid w:val="00004AA6"/>
    <w:rsid w:val="00007473"/>
    <w:rsid w:val="00011AF2"/>
    <w:rsid w:val="000144AF"/>
    <w:rsid w:val="00014CBD"/>
    <w:rsid w:val="00020FC3"/>
    <w:rsid w:val="00031ABD"/>
    <w:rsid w:val="0004103B"/>
    <w:rsid w:val="000412B9"/>
    <w:rsid w:val="00043234"/>
    <w:rsid w:val="0004498A"/>
    <w:rsid w:val="00045D4E"/>
    <w:rsid w:val="00053B1C"/>
    <w:rsid w:val="00055740"/>
    <w:rsid w:val="000612B0"/>
    <w:rsid w:val="00064E05"/>
    <w:rsid w:val="00073205"/>
    <w:rsid w:val="0007343F"/>
    <w:rsid w:val="000764C4"/>
    <w:rsid w:val="00080E23"/>
    <w:rsid w:val="00081310"/>
    <w:rsid w:val="00082312"/>
    <w:rsid w:val="00085226"/>
    <w:rsid w:val="00093180"/>
    <w:rsid w:val="0009518A"/>
    <w:rsid w:val="00095D18"/>
    <w:rsid w:val="000A043B"/>
    <w:rsid w:val="000A52D8"/>
    <w:rsid w:val="000A6B50"/>
    <w:rsid w:val="000B1376"/>
    <w:rsid w:val="000B6C2D"/>
    <w:rsid w:val="000D2A4D"/>
    <w:rsid w:val="000E56F5"/>
    <w:rsid w:val="000F05B9"/>
    <w:rsid w:val="000F62EE"/>
    <w:rsid w:val="001037EC"/>
    <w:rsid w:val="0010541B"/>
    <w:rsid w:val="00107B09"/>
    <w:rsid w:val="001108A5"/>
    <w:rsid w:val="00114B4F"/>
    <w:rsid w:val="001201C3"/>
    <w:rsid w:val="00121CE7"/>
    <w:rsid w:val="001255F5"/>
    <w:rsid w:val="00126E35"/>
    <w:rsid w:val="00131CCB"/>
    <w:rsid w:val="00132F7E"/>
    <w:rsid w:val="0013695F"/>
    <w:rsid w:val="00136DCF"/>
    <w:rsid w:val="00137E36"/>
    <w:rsid w:val="00143335"/>
    <w:rsid w:val="00147453"/>
    <w:rsid w:val="00151B89"/>
    <w:rsid w:val="0015449F"/>
    <w:rsid w:val="00155055"/>
    <w:rsid w:val="00155A75"/>
    <w:rsid w:val="00156EBD"/>
    <w:rsid w:val="00162BCE"/>
    <w:rsid w:val="00167C46"/>
    <w:rsid w:val="00170506"/>
    <w:rsid w:val="0017199E"/>
    <w:rsid w:val="00174FBF"/>
    <w:rsid w:val="00181B7A"/>
    <w:rsid w:val="00184093"/>
    <w:rsid w:val="00184C2D"/>
    <w:rsid w:val="00185F2D"/>
    <w:rsid w:val="001A1A50"/>
    <w:rsid w:val="001A221E"/>
    <w:rsid w:val="001A383B"/>
    <w:rsid w:val="001A72F0"/>
    <w:rsid w:val="001B2AFC"/>
    <w:rsid w:val="001B7CFE"/>
    <w:rsid w:val="001C546C"/>
    <w:rsid w:val="001C76E2"/>
    <w:rsid w:val="001D13AE"/>
    <w:rsid w:val="001E1061"/>
    <w:rsid w:val="001E203E"/>
    <w:rsid w:val="001E2EFF"/>
    <w:rsid w:val="001E5E36"/>
    <w:rsid w:val="001F4A82"/>
    <w:rsid w:val="001F50C7"/>
    <w:rsid w:val="001F6ADC"/>
    <w:rsid w:val="00203F58"/>
    <w:rsid w:val="0020695E"/>
    <w:rsid w:val="00212CFC"/>
    <w:rsid w:val="00216963"/>
    <w:rsid w:val="002317EC"/>
    <w:rsid w:val="00233CBC"/>
    <w:rsid w:val="00235110"/>
    <w:rsid w:val="00235D33"/>
    <w:rsid w:val="00236CDB"/>
    <w:rsid w:val="00242AAD"/>
    <w:rsid w:val="0025096E"/>
    <w:rsid w:val="00250AA4"/>
    <w:rsid w:val="00260E6D"/>
    <w:rsid w:val="0026210E"/>
    <w:rsid w:val="00265F9C"/>
    <w:rsid w:val="00266A99"/>
    <w:rsid w:val="002671A9"/>
    <w:rsid w:val="00272A99"/>
    <w:rsid w:val="002739DE"/>
    <w:rsid w:val="00275D0D"/>
    <w:rsid w:val="00277322"/>
    <w:rsid w:val="00280CDB"/>
    <w:rsid w:val="002824D5"/>
    <w:rsid w:val="002866C1"/>
    <w:rsid w:val="002903D4"/>
    <w:rsid w:val="002A2B4B"/>
    <w:rsid w:val="002A5632"/>
    <w:rsid w:val="002B0FEF"/>
    <w:rsid w:val="002B4E75"/>
    <w:rsid w:val="002B5AF7"/>
    <w:rsid w:val="002C0B30"/>
    <w:rsid w:val="002C3A15"/>
    <w:rsid w:val="002C4846"/>
    <w:rsid w:val="002D195B"/>
    <w:rsid w:val="002D1DF6"/>
    <w:rsid w:val="002D2B14"/>
    <w:rsid w:val="002D46FF"/>
    <w:rsid w:val="002D5C0A"/>
    <w:rsid w:val="002D7615"/>
    <w:rsid w:val="002E1F66"/>
    <w:rsid w:val="002E52E3"/>
    <w:rsid w:val="002F01A9"/>
    <w:rsid w:val="002F14EE"/>
    <w:rsid w:val="003073D4"/>
    <w:rsid w:val="00307DA8"/>
    <w:rsid w:val="00310ACB"/>
    <w:rsid w:val="00311496"/>
    <w:rsid w:val="00311F18"/>
    <w:rsid w:val="003128FE"/>
    <w:rsid w:val="003140AD"/>
    <w:rsid w:val="0031709C"/>
    <w:rsid w:val="00323179"/>
    <w:rsid w:val="00323783"/>
    <w:rsid w:val="00324A61"/>
    <w:rsid w:val="0033777C"/>
    <w:rsid w:val="003421C7"/>
    <w:rsid w:val="00343655"/>
    <w:rsid w:val="00351E0F"/>
    <w:rsid w:val="00351E10"/>
    <w:rsid w:val="00353074"/>
    <w:rsid w:val="003610DA"/>
    <w:rsid w:val="003647D9"/>
    <w:rsid w:val="0036491E"/>
    <w:rsid w:val="00366334"/>
    <w:rsid w:val="00366705"/>
    <w:rsid w:val="003737F7"/>
    <w:rsid w:val="0038278C"/>
    <w:rsid w:val="00383F67"/>
    <w:rsid w:val="003925FF"/>
    <w:rsid w:val="003926A5"/>
    <w:rsid w:val="003931B3"/>
    <w:rsid w:val="00393825"/>
    <w:rsid w:val="00397C7A"/>
    <w:rsid w:val="003A16C9"/>
    <w:rsid w:val="003A1CAB"/>
    <w:rsid w:val="003A3C8A"/>
    <w:rsid w:val="003A69A2"/>
    <w:rsid w:val="003B456A"/>
    <w:rsid w:val="003C10D7"/>
    <w:rsid w:val="003C11BA"/>
    <w:rsid w:val="003C1223"/>
    <w:rsid w:val="003C5AAA"/>
    <w:rsid w:val="003D3069"/>
    <w:rsid w:val="003D5780"/>
    <w:rsid w:val="003D5E2D"/>
    <w:rsid w:val="003F057C"/>
    <w:rsid w:val="003F1572"/>
    <w:rsid w:val="003F2B91"/>
    <w:rsid w:val="00407F92"/>
    <w:rsid w:val="00414944"/>
    <w:rsid w:val="004244E8"/>
    <w:rsid w:val="00426D35"/>
    <w:rsid w:val="00430B6B"/>
    <w:rsid w:val="00430EF8"/>
    <w:rsid w:val="00434589"/>
    <w:rsid w:val="00462CAE"/>
    <w:rsid w:val="00464460"/>
    <w:rsid w:val="004656C9"/>
    <w:rsid w:val="00465A64"/>
    <w:rsid w:val="00491B40"/>
    <w:rsid w:val="00493907"/>
    <w:rsid w:val="0049657F"/>
    <w:rsid w:val="004A02EA"/>
    <w:rsid w:val="004A4281"/>
    <w:rsid w:val="004A48CD"/>
    <w:rsid w:val="004B16A5"/>
    <w:rsid w:val="004B2860"/>
    <w:rsid w:val="004B4A62"/>
    <w:rsid w:val="004C7F69"/>
    <w:rsid w:val="004D0ED7"/>
    <w:rsid w:val="004D3140"/>
    <w:rsid w:val="004E1B6C"/>
    <w:rsid w:val="004E30E3"/>
    <w:rsid w:val="004F5891"/>
    <w:rsid w:val="004F709E"/>
    <w:rsid w:val="00517468"/>
    <w:rsid w:val="00520572"/>
    <w:rsid w:val="00521883"/>
    <w:rsid w:val="0052576B"/>
    <w:rsid w:val="00525A60"/>
    <w:rsid w:val="0052789C"/>
    <w:rsid w:val="00535264"/>
    <w:rsid w:val="005409AC"/>
    <w:rsid w:val="00550416"/>
    <w:rsid w:val="00551E7F"/>
    <w:rsid w:val="005600E7"/>
    <w:rsid w:val="00561723"/>
    <w:rsid w:val="005733C4"/>
    <w:rsid w:val="0057396F"/>
    <w:rsid w:val="00585864"/>
    <w:rsid w:val="00590AAD"/>
    <w:rsid w:val="005927F7"/>
    <w:rsid w:val="00595B55"/>
    <w:rsid w:val="00597E13"/>
    <w:rsid w:val="005A6E9E"/>
    <w:rsid w:val="005B6ADE"/>
    <w:rsid w:val="005C0DB9"/>
    <w:rsid w:val="005C504A"/>
    <w:rsid w:val="005D4214"/>
    <w:rsid w:val="005D55D6"/>
    <w:rsid w:val="005D55E5"/>
    <w:rsid w:val="005E2215"/>
    <w:rsid w:val="005E2CC5"/>
    <w:rsid w:val="005E5818"/>
    <w:rsid w:val="005F52F3"/>
    <w:rsid w:val="005F5765"/>
    <w:rsid w:val="005F5CAC"/>
    <w:rsid w:val="0061173B"/>
    <w:rsid w:val="00615815"/>
    <w:rsid w:val="00617996"/>
    <w:rsid w:val="00617A23"/>
    <w:rsid w:val="00624D75"/>
    <w:rsid w:val="00633D59"/>
    <w:rsid w:val="00635D27"/>
    <w:rsid w:val="00640867"/>
    <w:rsid w:val="0064140E"/>
    <w:rsid w:val="00641AF4"/>
    <w:rsid w:val="00642897"/>
    <w:rsid w:val="00642AF9"/>
    <w:rsid w:val="00647832"/>
    <w:rsid w:val="00647FE1"/>
    <w:rsid w:val="006655D7"/>
    <w:rsid w:val="006727B5"/>
    <w:rsid w:val="00686075"/>
    <w:rsid w:val="00687D6F"/>
    <w:rsid w:val="00690F5B"/>
    <w:rsid w:val="006939E6"/>
    <w:rsid w:val="00694F27"/>
    <w:rsid w:val="00697A5A"/>
    <w:rsid w:val="006A199A"/>
    <w:rsid w:val="006A2B16"/>
    <w:rsid w:val="006A58AC"/>
    <w:rsid w:val="006A5A17"/>
    <w:rsid w:val="006B0862"/>
    <w:rsid w:val="006B0D34"/>
    <w:rsid w:val="006B1156"/>
    <w:rsid w:val="006B34AC"/>
    <w:rsid w:val="006C2A86"/>
    <w:rsid w:val="006C703D"/>
    <w:rsid w:val="006C7C70"/>
    <w:rsid w:val="006D4776"/>
    <w:rsid w:val="006E0452"/>
    <w:rsid w:val="007007FC"/>
    <w:rsid w:val="00700C2B"/>
    <w:rsid w:val="00702ACB"/>
    <w:rsid w:val="00704ABE"/>
    <w:rsid w:val="00710DC2"/>
    <w:rsid w:val="00711321"/>
    <w:rsid w:val="00715C13"/>
    <w:rsid w:val="00716DFE"/>
    <w:rsid w:val="00721083"/>
    <w:rsid w:val="00737099"/>
    <w:rsid w:val="0074381B"/>
    <w:rsid w:val="007533D5"/>
    <w:rsid w:val="0075389B"/>
    <w:rsid w:val="007565C2"/>
    <w:rsid w:val="00765612"/>
    <w:rsid w:val="00765A1D"/>
    <w:rsid w:val="00766941"/>
    <w:rsid w:val="00777518"/>
    <w:rsid w:val="00787ACE"/>
    <w:rsid w:val="00793250"/>
    <w:rsid w:val="00796E91"/>
    <w:rsid w:val="00797F38"/>
    <w:rsid w:val="007A59A1"/>
    <w:rsid w:val="007C3D75"/>
    <w:rsid w:val="007D36D1"/>
    <w:rsid w:val="007E0CF2"/>
    <w:rsid w:val="007E2441"/>
    <w:rsid w:val="007E4E2F"/>
    <w:rsid w:val="007E5047"/>
    <w:rsid w:val="007E7C78"/>
    <w:rsid w:val="007F5BBF"/>
    <w:rsid w:val="00801719"/>
    <w:rsid w:val="00811EE3"/>
    <w:rsid w:val="008219C7"/>
    <w:rsid w:val="00824CC9"/>
    <w:rsid w:val="00826D2B"/>
    <w:rsid w:val="00826DDE"/>
    <w:rsid w:val="00836AF8"/>
    <w:rsid w:val="00837A07"/>
    <w:rsid w:val="0084121D"/>
    <w:rsid w:val="00844D26"/>
    <w:rsid w:val="00846E8F"/>
    <w:rsid w:val="008470A2"/>
    <w:rsid w:val="00852652"/>
    <w:rsid w:val="00853340"/>
    <w:rsid w:val="00857E00"/>
    <w:rsid w:val="0086232D"/>
    <w:rsid w:val="00871729"/>
    <w:rsid w:val="00882166"/>
    <w:rsid w:val="00885453"/>
    <w:rsid w:val="008910D4"/>
    <w:rsid w:val="008964D5"/>
    <w:rsid w:val="008A0A5B"/>
    <w:rsid w:val="008A0F1E"/>
    <w:rsid w:val="008A75B1"/>
    <w:rsid w:val="008B3011"/>
    <w:rsid w:val="008D160F"/>
    <w:rsid w:val="008D2149"/>
    <w:rsid w:val="008D3C56"/>
    <w:rsid w:val="008E0B75"/>
    <w:rsid w:val="008E1ED4"/>
    <w:rsid w:val="008E20F2"/>
    <w:rsid w:val="008E4616"/>
    <w:rsid w:val="008E6C89"/>
    <w:rsid w:val="008E74BE"/>
    <w:rsid w:val="008F1D91"/>
    <w:rsid w:val="008F5486"/>
    <w:rsid w:val="008F58E8"/>
    <w:rsid w:val="00902F71"/>
    <w:rsid w:val="00912019"/>
    <w:rsid w:val="00913DF3"/>
    <w:rsid w:val="00917317"/>
    <w:rsid w:val="0092005D"/>
    <w:rsid w:val="00937494"/>
    <w:rsid w:val="00946ECB"/>
    <w:rsid w:val="00950F26"/>
    <w:rsid w:val="0096165B"/>
    <w:rsid w:val="00971F05"/>
    <w:rsid w:val="00973C28"/>
    <w:rsid w:val="009741A7"/>
    <w:rsid w:val="009773BF"/>
    <w:rsid w:val="00981901"/>
    <w:rsid w:val="00981AAA"/>
    <w:rsid w:val="00983DD5"/>
    <w:rsid w:val="00991B61"/>
    <w:rsid w:val="009924F5"/>
    <w:rsid w:val="00995797"/>
    <w:rsid w:val="00996653"/>
    <w:rsid w:val="009A1D51"/>
    <w:rsid w:val="009A25F0"/>
    <w:rsid w:val="009A2951"/>
    <w:rsid w:val="009A5FAF"/>
    <w:rsid w:val="009A773E"/>
    <w:rsid w:val="009B2C62"/>
    <w:rsid w:val="009B3FAC"/>
    <w:rsid w:val="009B4828"/>
    <w:rsid w:val="009B7E6F"/>
    <w:rsid w:val="009C749B"/>
    <w:rsid w:val="009C7C62"/>
    <w:rsid w:val="009D6A03"/>
    <w:rsid w:val="009D6B92"/>
    <w:rsid w:val="009F050F"/>
    <w:rsid w:val="009F2762"/>
    <w:rsid w:val="009F608D"/>
    <w:rsid w:val="009F6883"/>
    <w:rsid w:val="00A0042C"/>
    <w:rsid w:val="00A02BA0"/>
    <w:rsid w:val="00A05F19"/>
    <w:rsid w:val="00A07AB7"/>
    <w:rsid w:val="00A135E9"/>
    <w:rsid w:val="00A20166"/>
    <w:rsid w:val="00A2799A"/>
    <w:rsid w:val="00A30332"/>
    <w:rsid w:val="00A320E1"/>
    <w:rsid w:val="00A32403"/>
    <w:rsid w:val="00A410B9"/>
    <w:rsid w:val="00A4265D"/>
    <w:rsid w:val="00A427C0"/>
    <w:rsid w:val="00A456FB"/>
    <w:rsid w:val="00A462CE"/>
    <w:rsid w:val="00A520D9"/>
    <w:rsid w:val="00A53493"/>
    <w:rsid w:val="00A63522"/>
    <w:rsid w:val="00A6381A"/>
    <w:rsid w:val="00A65E47"/>
    <w:rsid w:val="00A710F4"/>
    <w:rsid w:val="00A726F7"/>
    <w:rsid w:val="00A861DC"/>
    <w:rsid w:val="00A96FE7"/>
    <w:rsid w:val="00A977E5"/>
    <w:rsid w:val="00AB0447"/>
    <w:rsid w:val="00AB4785"/>
    <w:rsid w:val="00AB4D82"/>
    <w:rsid w:val="00AC7F83"/>
    <w:rsid w:val="00AE1B66"/>
    <w:rsid w:val="00AE2BA5"/>
    <w:rsid w:val="00AE48DD"/>
    <w:rsid w:val="00AE51D7"/>
    <w:rsid w:val="00AE781C"/>
    <w:rsid w:val="00AF3222"/>
    <w:rsid w:val="00AF6914"/>
    <w:rsid w:val="00B00659"/>
    <w:rsid w:val="00B00A5B"/>
    <w:rsid w:val="00B02440"/>
    <w:rsid w:val="00B155B4"/>
    <w:rsid w:val="00B2269C"/>
    <w:rsid w:val="00B22B21"/>
    <w:rsid w:val="00B2434D"/>
    <w:rsid w:val="00B251CF"/>
    <w:rsid w:val="00B30E96"/>
    <w:rsid w:val="00B439A4"/>
    <w:rsid w:val="00B45ABB"/>
    <w:rsid w:val="00B513A2"/>
    <w:rsid w:val="00B533B7"/>
    <w:rsid w:val="00B60151"/>
    <w:rsid w:val="00B6026A"/>
    <w:rsid w:val="00B614B2"/>
    <w:rsid w:val="00B6190E"/>
    <w:rsid w:val="00B70CE5"/>
    <w:rsid w:val="00B71ADD"/>
    <w:rsid w:val="00B720E7"/>
    <w:rsid w:val="00B73FA1"/>
    <w:rsid w:val="00B7496E"/>
    <w:rsid w:val="00B83259"/>
    <w:rsid w:val="00B845E2"/>
    <w:rsid w:val="00B84C2E"/>
    <w:rsid w:val="00B84F51"/>
    <w:rsid w:val="00B85707"/>
    <w:rsid w:val="00B877A9"/>
    <w:rsid w:val="00B95EA7"/>
    <w:rsid w:val="00B969A2"/>
    <w:rsid w:val="00BA2471"/>
    <w:rsid w:val="00BA3B1A"/>
    <w:rsid w:val="00BA4524"/>
    <w:rsid w:val="00BB277A"/>
    <w:rsid w:val="00BB7CE0"/>
    <w:rsid w:val="00BC32A0"/>
    <w:rsid w:val="00BD0718"/>
    <w:rsid w:val="00BD5A17"/>
    <w:rsid w:val="00BD6E1D"/>
    <w:rsid w:val="00BD6EAB"/>
    <w:rsid w:val="00BE10CB"/>
    <w:rsid w:val="00BE5DCF"/>
    <w:rsid w:val="00BE7D47"/>
    <w:rsid w:val="00BF62BD"/>
    <w:rsid w:val="00C1151F"/>
    <w:rsid w:val="00C124C2"/>
    <w:rsid w:val="00C169C5"/>
    <w:rsid w:val="00C26ACF"/>
    <w:rsid w:val="00C3018F"/>
    <w:rsid w:val="00C30673"/>
    <w:rsid w:val="00C30CC5"/>
    <w:rsid w:val="00C364EA"/>
    <w:rsid w:val="00C3766D"/>
    <w:rsid w:val="00C4037F"/>
    <w:rsid w:val="00C4551B"/>
    <w:rsid w:val="00C47A1D"/>
    <w:rsid w:val="00C47EEC"/>
    <w:rsid w:val="00C54039"/>
    <w:rsid w:val="00C56A5F"/>
    <w:rsid w:val="00C669BF"/>
    <w:rsid w:val="00C721DF"/>
    <w:rsid w:val="00C72D44"/>
    <w:rsid w:val="00C90BF5"/>
    <w:rsid w:val="00C91242"/>
    <w:rsid w:val="00C926A9"/>
    <w:rsid w:val="00C93D22"/>
    <w:rsid w:val="00C96F4D"/>
    <w:rsid w:val="00CA09EE"/>
    <w:rsid w:val="00CA21DE"/>
    <w:rsid w:val="00CB0399"/>
    <w:rsid w:val="00CB2535"/>
    <w:rsid w:val="00CC147C"/>
    <w:rsid w:val="00CC1C28"/>
    <w:rsid w:val="00CC34BF"/>
    <w:rsid w:val="00CD4A73"/>
    <w:rsid w:val="00CD4CD4"/>
    <w:rsid w:val="00CD4E74"/>
    <w:rsid w:val="00CD5C82"/>
    <w:rsid w:val="00CE1A9E"/>
    <w:rsid w:val="00CE3B6A"/>
    <w:rsid w:val="00CE6CAA"/>
    <w:rsid w:val="00CF4EC2"/>
    <w:rsid w:val="00CF6360"/>
    <w:rsid w:val="00D05639"/>
    <w:rsid w:val="00D06591"/>
    <w:rsid w:val="00D11A0D"/>
    <w:rsid w:val="00D1292D"/>
    <w:rsid w:val="00D157D7"/>
    <w:rsid w:val="00D17024"/>
    <w:rsid w:val="00D173EE"/>
    <w:rsid w:val="00D20FC7"/>
    <w:rsid w:val="00D24896"/>
    <w:rsid w:val="00D26C13"/>
    <w:rsid w:val="00D561E2"/>
    <w:rsid w:val="00D61EE4"/>
    <w:rsid w:val="00D64CAF"/>
    <w:rsid w:val="00D81EA5"/>
    <w:rsid w:val="00D934D0"/>
    <w:rsid w:val="00DA0A18"/>
    <w:rsid w:val="00DA15F8"/>
    <w:rsid w:val="00DA3D47"/>
    <w:rsid w:val="00DA6009"/>
    <w:rsid w:val="00DB3515"/>
    <w:rsid w:val="00DC1408"/>
    <w:rsid w:val="00DC2088"/>
    <w:rsid w:val="00DC35FC"/>
    <w:rsid w:val="00DC7D54"/>
    <w:rsid w:val="00DD31B0"/>
    <w:rsid w:val="00DD3E83"/>
    <w:rsid w:val="00DF5CD4"/>
    <w:rsid w:val="00DF7C99"/>
    <w:rsid w:val="00E00403"/>
    <w:rsid w:val="00E24406"/>
    <w:rsid w:val="00E30A77"/>
    <w:rsid w:val="00E36E02"/>
    <w:rsid w:val="00E3760E"/>
    <w:rsid w:val="00E47416"/>
    <w:rsid w:val="00E602CA"/>
    <w:rsid w:val="00E616C8"/>
    <w:rsid w:val="00E64F8F"/>
    <w:rsid w:val="00E71CE8"/>
    <w:rsid w:val="00E75CAC"/>
    <w:rsid w:val="00E8168F"/>
    <w:rsid w:val="00E86976"/>
    <w:rsid w:val="00E87918"/>
    <w:rsid w:val="00E87A6E"/>
    <w:rsid w:val="00E90B9B"/>
    <w:rsid w:val="00E9220D"/>
    <w:rsid w:val="00E95375"/>
    <w:rsid w:val="00E959AF"/>
    <w:rsid w:val="00E96CD5"/>
    <w:rsid w:val="00E97658"/>
    <w:rsid w:val="00EA19B5"/>
    <w:rsid w:val="00EA1B94"/>
    <w:rsid w:val="00EB654C"/>
    <w:rsid w:val="00EB7492"/>
    <w:rsid w:val="00EC7C18"/>
    <w:rsid w:val="00ED0961"/>
    <w:rsid w:val="00ED3C6D"/>
    <w:rsid w:val="00EE2B98"/>
    <w:rsid w:val="00EE2ED7"/>
    <w:rsid w:val="00EF0523"/>
    <w:rsid w:val="00EF201A"/>
    <w:rsid w:val="00EF2BAD"/>
    <w:rsid w:val="00EF319D"/>
    <w:rsid w:val="00F03416"/>
    <w:rsid w:val="00F158CA"/>
    <w:rsid w:val="00F16EB8"/>
    <w:rsid w:val="00F17298"/>
    <w:rsid w:val="00F264E1"/>
    <w:rsid w:val="00F27952"/>
    <w:rsid w:val="00F27974"/>
    <w:rsid w:val="00F30A58"/>
    <w:rsid w:val="00F30B56"/>
    <w:rsid w:val="00F32AF7"/>
    <w:rsid w:val="00F368C1"/>
    <w:rsid w:val="00F424E6"/>
    <w:rsid w:val="00F43CFB"/>
    <w:rsid w:val="00F46063"/>
    <w:rsid w:val="00F50CE3"/>
    <w:rsid w:val="00F51A70"/>
    <w:rsid w:val="00F56268"/>
    <w:rsid w:val="00F5692C"/>
    <w:rsid w:val="00F74B7E"/>
    <w:rsid w:val="00F77D78"/>
    <w:rsid w:val="00F80DCC"/>
    <w:rsid w:val="00F82835"/>
    <w:rsid w:val="00F85D92"/>
    <w:rsid w:val="00F91803"/>
    <w:rsid w:val="00F92B49"/>
    <w:rsid w:val="00F92C45"/>
    <w:rsid w:val="00F966BC"/>
    <w:rsid w:val="00FA29D5"/>
    <w:rsid w:val="00FA2E7C"/>
    <w:rsid w:val="00FB127B"/>
    <w:rsid w:val="00FB52F2"/>
    <w:rsid w:val="00FB6BD9"/>
    <w:rsid w:val="00FC1C2F"/>
    <w:rsid w:val="00FC56A2"/>
    <w:rsid w:val="00FD0D07"/>
    <w:rsid w:val="00FD4936"/>
    <w:rsid w:val="00FE18AF"/>
    <w:rsid w:val="00FE4434"/>
    <w:rsid w:val="00FE4CEC"/>
    <w:rsid w:val="00FF0006"/>
    <w:rsid w:val="00FF004C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9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482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F9C"/>
    <w:rPr>
      <w:rFonts w:ascii="Times New Roman" w:eastAsia="Times New Roman" w:hAnsi="Times New Roman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65F9C"/>
    <w:pPr>
      <w:tabs>
        <w:tab w:val="left" w:pos="1152"/>
      </w:tabs>
      <w:spacing w:before="120" w:after="120" w:line="312" w:lineRule="auto"/>
    </w:pPr>
    <w:rPr>
      <w:rFonts w:eastAsia="Times New Roman" w:cs="Arial"/>
      <w:sz w:val="26"/>
      <w:szCs w:val="26"/>
    </w:rPr>
  </w:style>
  <w:style w:type="paragraph" w:styleId="Header">
    <w:name w:val="header"/>
    <w:basedOn w:val="Normal"/>
    <w:link w:val="HeaderChar"/>
    <w:uiPriority w:val="99"/>
    <w:rsid w:val="00265F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65F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65F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65F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265F9C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5F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65F9C"/>
    <w:rPr>
      <w:vertAlign w:val="superscript"/>
    </w:rPr>
  </w:style>
  <w:style w:type="paragraph" w:customStyle="1" w:styleId="Heading21">
    <w:name w:val="Heading 21"/>
    <w:basedOn w:val="Heading3"/>
    <w:link w:val="heading2Char"/>
    <w:qFormat/>
    <w:rsid w:val="009B4828"/>
    <w:pPr>
      <w:widowControl w:val="0"/>
      <w:spacing w:before="120" w:after="0"/>
      <w:jc w:val="both"/>
    </w:pPr>
    <w:rPr>
      <w:rFonts w:eastAsia="Calibri"/>
      <w:color w:val="7030A0"/>
      <w:spacing w:val="-6"/>
      <w:sz w:val="28"/>
      <w:szCs w:val="28"/>
      <w:lang w:val="nl-NL" w:eastAsia="ar-SA"/>
    </w:rPr>
  </w:style>
  <w:style w:type="character" w:customStyle="1" w:styleId="heading2Char">
    <w:name w:val="heading 2 Char"/>
    <w:link w:val="Heading21"/>
    <w:rsid w:val="009B4828"/>
    <w:rPr>
      <w:rFonts w:ascii="Times New Roman" w:eastAsia="Calibri" w:hAnsi="Times New Roman" w:cs="Times New Roman"/>
      <w:b/>
      <w:bCs/>
      <w:color w:val="7030A0"/>
      <w:spacing w:val="-6"/>
      <w:sz w:val="28"/>
      <w:szCs w:val="28"/>
      <w:lang w:val="nl-NL" w:eastAsia="ar-SA"/>
    </w:rPr>
  </w:style>
  <w:style w:type="character" w:customStyle="1" w:styleId="Heading3Char">
    <w:name w:val="Heading 3 Char"/>
    <w:link w:val="Heading3"/>
    <w:uiPriority w:val="9"/>
    <w:rsid w:val="009B4828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FAC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144AF"/>
    <w:pPr>
      <w:spacing w:before="20" w:after="20" w:line="360" w:lineRule="atLeast"/>
      <w:ind w:firstLine="709"/>
      <w:jc w:val="both"/>
    </w:pPr>
    <w:rPr>
      <w:rFonts w:ascii=".VnTime" w:hAnsi=".VnTime"/>
      <w:sz w:val="28"/>
      <w:szCs w:val="20"/>
    </w:rPr>
  </w:style>
  <w:style w:type="character" w:customStyle="1" w:styleId="BodyTextIndent2Char">
    <w:name w:val="Body Text Indent 2 Char"/>
    <w:link w:val="BodyTextIndent2"/>
    <w:rsid w:val="000144AF"/>
    <w:rPr>
      <w:rFonts w:ascii=".VnTime" w:eastAsia="Times New Roman" w:hAnsi=".VnTime"/>
      <w:sz w:val="28"/>
    </w:rPr>
  </w:style>
  <w:style w:type="character" w:styleId="Hyperlink">
    <w:name w:val="Hyperlink"/>
    <w:uiPriority w:val="99"/>
    <w:unhideWhenUsed/>
    <w:rsid w:val="00212CF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0F1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A0F1E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A0F1E"/>
    <w:rPr>
      <w:b/>
      <w:bCs/>
    </w:rPr>
  </w:style>
  <w:style w:type="character" w:customStyle="1" w:styleId="apple-converted-space">
    <w:name w:val="apple-converted-space"/>
    <w:rsid w:val="008A0F1E"/>
  </w:style>
  <w:style w:type="character" w:customStyle="1" w:styleId="Bodytext20">
    <w:name w:val="Body text (2)_"/>
    <w:link w:val="Bodytext21"/>
    <w:rsid w:val="00E30A77"/>
    <w:rPr>
      <w:b/>
      <w:bCs/>
      <w:shd w:val="clear" w:color="auto" w:fill="FFFFFF"/>
    </w:rPr>
  </w:style>
  <w:style w:type="character" w:customStyle="1" w:styleId="Bodytext">
    <w:name w:val="Body text_"/>
    <w:link w:val="BodyText1"/>
    <w:rsid w:val="00E30A77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30A77"/>
    <w:pPr>
      <w:widowControl w:val="0"/>
      <w:shd w:val="clear" w:color="auto" w:fill="FFFFFF"/>
      <w:spacing w:after="300" w:line="268" w:lineRule="exact"/>
      <w:ind w:hanging="320"/>
    </w:pPr>
    <w:rPr>
      <w:rFonts w:ascii="Arial" w:eastAsia="Arial" w:hAnsi="Arial"/>
      <w:b/>
      <w:bCs/>
      <w:sz w:val="20"/>
      <w:szCs w:val="20"/>
    </w:rPr>
  </w:style>
  <w:style w:type="paragraph" w:customStyle="1" w:styleId="BodyText1">
    <w:name w:val="Body Text1"/>
    <w:basedOn w:val="Normal"/>
    <w:link w:val="Bodytext"/>
    <w:rsid w:val="00E30A77"/>
    <w:pPr>
      <w:widowControl w:val="0"/>
      <w:shd w:val="clear" w:color="auto" w:fill="FFFFFF"/>
      <w:spacing w:after="60" w:line="287" w:lineRule="exact"/>
      <w:jc w:val="both"/>
    </w:pPr>
    <w:rPr>
      <w:rFonts w:ascii="Arial" w:eastAsia="Arial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0A77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rsid w:val="00A4265D"/>
    <w:rPr>
      <w:rFonts w:ascii="Times New Roman" w:hAnsi="Times New Roman" w:cs="Times New Roman"/>
      <w:sz w:val="27"/>
      <w:szCs w:val="27"/>
      <w:u w:val="none"/>
    </w:rPr>
  </w:style>
  <w:style w:type="paragraph" w:customStyle="1" w:styleId="Char">
    <w:name w:val="Char"/>
    <w:basedOn w:val="Normal"/>
    <w:rsid w:val="00181B7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rsid w:val="00181B7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81B7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3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3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3C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3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33C4"/>
    <w:rPr>
      <w:rFonts w:ascii="Times New Roman" w:eastAsia="Times New Roman" w:hAnsi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B2C62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B2C62"/>
    <w:rPr>
      <w:rFonts w:ascii="Calibri" w:eastAsia="Times New Roman" w:hAnsi="Calibri"/>
      <w:b/>
      <w:bCs/>
      <w:i/>
      <w:i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C6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B2C62"/>
    <w:rPr>
      <w:rFonts w:ascii="Tahoma" w:eastAsia="Times New Roman" w:hAnsi="Tahoma"/>
      <w:sz w:val="16"/>
      <w:szCs w:val="16"/>
    </w:rPr>
  </w:style>
  <w:style w:type="paragraph" w:customStyle="1" w:styleId="CharChar1">
    <w:name w:val="Char Char1"/>
    <w:basedOn w:val="Normal"/>
    <w:semiHidden/>
    <w:rsid w:val="00B2434D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1A9306F90D4BA72B344F84569909" ma:contentTypeVersion="0" ma:contentTypeDescription="Create a new document." ma:contentTypeScope="" ma:versionID="515e78a9d2963bffdb0b4e222072b5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281B-1F96-4576-BB28-67EE3B211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28BF8-50C4-4FAF-B42C-3E328E79C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F5B93-0D6B-4BC8-A205-F9647B633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7FA02E-12F9-470E-9F26-C57ACE3D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 NQ H_ND (15_6).doc</vt:lpstr>
    </vt:vector>
  </TitlesOfParts>
  <Company>andongnhi.violet.vn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NQ H_ND (15_6).doc</dc:title>
  <dc:subject/>
  <dc:creator>VietAn</dc:creator>
  <cp:keywords/>
  <cp:lastModifiedBy>Tri?u Thu?n</cp:lastModifiedBy>
  <cp:revision>13</cp:revision>
  <cp:lastPrinted>2018-08-03T10:13:00Z</cp:lastPrinted>
  <dcterms:created xsi:type="dcterms:W3CDTF">2018-07-26T09:37:00Z</dcterms:created>
  <dcterms:modified xsi:type="dcterms:W3CDTF">2018-08-13T09:10:00Z</dcterms:modified>
</cp:coreProperties>
</file>